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547" w:rsidRDefault="00EF0547" w14:paraId="26BD9253" w14:textId="77777777"/>
    <w:p w:rsidR="00DC276B" w:rsidRDefault="00DC276B" w14:paraId="193A44D5" w14:textId="77777777"/>
    <w:p w:rsidR="00DC276B" w:rsidRDefault="00DC276B" w14:paraId="29D2E156" w14:textId="77777777"/>
    <w:p w:rsidR="00DC276B" w:rsidP="00DC276B" w:rsidRDefault="00DC276B" w14:paraId="26088446" w14:textId="3E663D2B">
      <w:pPr>
        <w:jc w:val="center"/>
        <w:rPr>
          <w:b/>
          <w:bCs/>
          <w:sz w:val="36"/>
          <w:szCs w:val="36"/>
        </w:rPr>
      </w:pPr>
      <w:r w:rsidRPr="00DC276B">
        <w:rPr>
          <w:b/>
          <w:bCs/>
          <w:sz w:val="36"/>
          <w:szCs w:val="36"/>
        </w:rPr>
        <w:t>Safeguarding Adults Policy</w:t>
      </w:r>
    </w:p>
    <w:p w:rsidRPr="00DC276B" w:rsidR="00DC276B" w:rsidP="00DC276B" w:rsidRDefault="00DC276B" w14:paraId="146E01D7" w14:textId="77777777">
      <w:pPr>
        <w:jc w:val="center"/>
        <w:rPr>
          <w:b/>
          <w:bCs/>
          <w:sz w:val="36"/>
          <w:szCs w:val="36"/>
        </w:rPr>
      </w:pPr>
    </w:p>
    <w:p w:rsidRPr="00DC276B" w:rsidR="00DC276B" w:rsidP="00DC276B" w:rsidRDefault="00DC276B" w14:paraId="1CB2447E" w14:textId="77777777">
      <w:pPr>
        <w:spacing w:after="0" w:line="256" w:lineRule="auto"/>
        <w:jc w:val="both"/>
        <w:rPr>
          <w:rFonts w:ascii="Calibri" w:hAnsi="Calibri" w:eastAsia="Calibri" w:cs="Calibri"/>
          <w:b/>
          <w:bCs/>
          <w:color w:val="000000"/>
          <w:kern w:val="0"/>
          <w:lang w:eastAsia="en-GB"/>
          <w14:ligatures w14:val="none"/>
        </w:rPr>
      </w:pPr>
      <w:r w:rsidRPr="00DC276B">
        <w:rPr>
          <w:rFonts w:ascii="Calibri" w:hAnsi="Calibri" w:eastAsia="Calibri" w:cs="Calibri"/>
          <w:b/>
          <w:bCs/>
          <w:color w:val="000000"/>
          <w:kern w:val="0"/>
          <w:lang w:eastAsia="en-GB"/>
          <w14:ligatures w14:val="none"/>
        </w:rPr>
        <w:t>Update record:</w:t>
      </w:r>
    </w:p>
    <w:tbl>
      <w:tblPr>
        <w:tblStyle w:val="TableGrid"/>
        <w:tblW w:w="0" w:type="auto"/>
        <w:tblInd w:w="-147" w:type="dxa"/>
        <w:tblLook w:val="04A0" w:firstRow="1" w:lastRow="0" w:firstColumn="1" w:lastColumn="0" w:noHBand="0" w:noVBand="1"/>
      </w:tblPr>
      <w:tblGrid>
        <w:gridCol w:w="2694"/>
        <w:gridCol w:w="6469"/>
      </w:tblGrid>
      <w:tr w:rsidRPr="00DC276B" w:rsidR="00DC276B" w14:paraId="72770DC1" w14:textId="77777777">
        <w:tc>
          <w:tcPr>
            <w:tcW w:w="2694" w:type="dxa"/>
          </w:tcPr>
          <w:p w:rsidRPr="00DC276B" w:rsidR="00DC276B" w:rsidP="00DC276B" w:rsidRDefault="00DC276B" w14:paraId="7DFA44D3" w14:textId="77777777">
            <w:pPr>
              <w:spacing w:line="256" w:lineRule="auto"/>
              <w:jc w:val="both"/>
              <w:rPr>
                <w:rFonts w:ascii="Calibri" w:hAnsi="Calibri" w:eastAsia="Calibri" w:cs="Calibri"/>
                <w:color w:val="000000"/>
                <w:lang w:eastAsia="en-GB"/>
              </w:rPr>
            </w:pPr>
            <w:r w:rsidRPr="00DC276B">
              <w:rPr>
                <w:rFonts w:ascii="Calibri" w:hAnsi="Calibri" w:eastAsia="Calibri" w:cs="Calibri"/>
                <w:color w:val="000000"/>
                <w:lang w:eastAsia="en-GB"/>
              </w:rPr>
              <w:t>Date Approved:</w:t>
            </w:r>
          </w:p>
          <w:p w:rsidRPr="00DC276B" w:rsidR="00DC276B" w:rsidP="00DC276B" w:rsidRDefault="00DC276B" w14:paraId="052F558E" w14:textId="77777777">
            <w:pPr>
              <w:spacing w:line="256" w:lineRule="auto"/>
              <w:jc w:val="both"/>
              <w:rPr>
                <w:rFonts w:ascii="Calibri" w:hAnsi="Calibri" w:eastAsia="Calibri" w:cs="Calibri"/>
                <w:color w:val="000000"/>
                <w:lang w:eastAsia="en-GB"/>
              </w:rPr>
            </w:pPr>
          </w:p>
        </w:tc>
        <w:tc>
          <w:tcPr>
            <w:tcW w:w="6469" w:type="dxa"/>
          </w:tcPr>
          <w:p w:rsidRPr="00DC276B" w:rsidR="00DC276B" w:rsidP="00DC276B" w:rsidRDefault="00DC276B" w14:paraId="03F1E8A7" w14:textId="572F9452">
            <w:pPr>
              <w:spacing w:line="256" w:lineRule="auto"/>
              <w:jc w:val="both"/>
              <w:rPr>
                <w:rFonts w:ascii="Calibri" w:hAnsi="Calibri" w:eastAsia="Calibri" w:cs="Calibri"/>
                <w:color w:val="000000"/>
                <w:lang w:eastAsia="en-GB"/>
              </w:rPr>
            </w:pPr>
          </w:p>
        </w:tc>
      </w:tr>
      <w:tr w:rsidRPr="00DC276B" w:rsidR="00DC276B" w14:paraId="3622C1FE" w14:textId="77777777">
        <w:tc>
          <w:tcPr>
            <w:tcW w:w="2694" w:type="dxa"/>
          </w:tcPr>
          <w:p w:rsidRPr="00DC276B" w:rsidR="00DC276B" w:rsidP="00DC276B" w:rsidRDefault="00DC276B" w14:paraId="5C57A311" w14:textId="77777777">
            <w:pPr>
              <w:spacing w:line="256" w:lineRule="auto"/>
              <w:jc w:val="both"/>
              <w:rPr>
                <w:rFonts w:ascii="Calibri" w:hAnsi="Calibri" w:eastAsia="Calibri" w:cs="Calibri"/>
                <w:color w:val="000000"/>
                <w:lang w:eastAsia="en-GB"/>
              </w:rPr>
            </w:pPr>
            <w:r w:rsidRPr="00DC276B">
              <w:rPr>
                <w:rFonts w:ascii="Calibri" w:hAnsi="Calibri" w:eastAsia="Calibri" w:cs="Calibri"/>
                <w:color w:val="000000"/>
                <w:lang w:eastAsia="en-GB"/>
              </w:rPr>
              <w:t>Date of Next review:</w:t>
            </w:r>
          </w:p>
          <w:p w:rsidRPr="00DC276B" w:rsidR="00DC276B" w:rsidP="00DC276B" w:rsidRDefault="00DC276B" w14:paraId="2917AA0E" w14:textId="77777777">
            <w:pPr>
              <w:spacing w:line="256" w:lineRule="auto"/>
              <w:jc w:val="both"/>
              <w:rPr>
                <w:rFonts w:ascii="Calibri" w:hAnsi="Calibri" w:eastAsia="Calibri" w:cs="Calibri"/>
                <w:color w:val="000000"/>
                <w:lang w:eastAsia="en-GB"/>
              </w:rPr>
            </w:pPr>
          </w:p>
        </w:tc>
        <w:tc>
          <w:tcPr>
            <w:tcW w:w="6469" w:type="dxa"/>
          </w:tcPr>
          <w:p w:rsidRPr="00DC276B" w:rsidR="00DC276B" w:rsidP="00DC276B" w:rsidRDefault="00DC276B" w14:paraId="0BE39DA0" w14:textId="1AC0A230">
            <w:pPr>
              <w:spacing w:line="256" w:lineRule="auto"/>
              <w:jc w:val="both"/>
              <w:rPr>
                <w:rFonts w:ascii="Calibri" w:hAnsi="Calibri" w:eastAsia="Calibri" w:cs="Calibri"/>
                <w:color w:val="000000"/>
                <w:lang w:eastAsia="en-GB"/>
              </w:rPr>
            </w:pPr>
          </w:p>
        </w:tc>
      </w:tr>
      <w:tr w:rsidRPr="00DC276B" w:rsidR="00DC276B" w14:paraId="49E61862" w14:textId="77777777">
        <w:tc>
          <w:tcPr>
            <w:tcW w:w="2694" w:type="dxa"/>
          </w:tcPr>
          <w:p w:rsidRPr="00DC276B" w:rsidR="00DC276B" w:rsidP="00DC276B" w:rsidRDefault="00DC276B" w14:paraId="6E78EFF5" w14:textId="0D57E503">
            <w:pPr>
              <w:spacing w:line="256" w:lineRule="auto"/>
              <w:jc w:val="both"/>
              <w:rPr>
                <w:rFonts w:ascii="Calibri" w:hAnsi="Calibri" w:eastAsia="Calibri" w:cs="Calibri"/>
                <w:color w:val="000000"/>
                <w:lang w:eastAsia="en-GB"/>
              </w:rPr>
            </w:pPr>
            <w:r w:rsidRPr="00DC276B">
              <w:rPr>
                <w:rFonts w:ascii="Calibri" w:hAnsi="Calibri" w:eastAsia="Calibri" w:cs="Calibri"/>
                <w:color w:val="000000"/>
                <w:lang w:eastAsia="en-GB"/>
              </w:rPr>
              <w:t>Related Policies</w:t>
            </w:r>
            <w:r w:rsidR="00BA1AEE">
              <w:rPr>
                <w:rFonts w:ascii="Calibri" w:hAnsi="Calibri" w:eastAsia="Calibri" w:cs="Calibri"/>
                <w:color w:val="000000"/>
                <w:lang w:eastAsia="en-GB"/>
              </w:rPr>
              <w:t>/Documents</w:t>
            </w:r>
            <w:r w:rsidRPr="00DC276B">
              <w:rPr>
                <w:rFonts w:ascii="Calibri" w:hAnsi="Calibri" w:eastAsia="Calibri" w:cs="Calibri"/>
                <w:color w:val="000000"/>
                <w:lang w:eastAsia="en-GB"/>
              </w:rPr>
              <w:t>:</w:t>
            </w:r>
          </w:p>
          <w:p w:rsidRPr="00DC276B" w:rsidR="00DC276B" w:rsidP="00DC276B" w:rsidRDefault="00DC276B" w14:paraId="309A7D2C" w14:textId="77777777">
            <w:pPr>
              <w:spacing w:line="256" w:lineRule="auto"/>
              <w:jc w:val="both"/>
              <w:rPr>
                <w:rFonts w:ascii="Calibri" w:hAnsi="Calibri" w:eastAsia="Calibri" w:cs="Calibri"/>
                <w:color w:val="000000"/>
                <w:lang w:eastAsia="en-GB"/>
              </w:rPr>
            </w:pPr>
          </w:p>
        </w:tc>
        <w:tc>
          <w:tcPr>
            <w:tcW w:w="6469" w:type="dxa"/>
          </w:tcPr>
          <w:p w:rsidRPr="00DC276B" w:rsidR="00DC276B" w:rsidP="00DC276B" w:rsidRDefault="00DC276B" w14:paraId="31C0BB81" w14:textId="6B1AD1F1">
            <w:pPr>
              <w:spacing w:line="256" w:lineRule="auto"/>
              <w:jc w:val="both"/>
              <w:rPr>
                <w:rFonts w:ascii="Calibri" w:hAnsi="Calibri" w:eastAsia="Calibri" w:cs="Calibri"/>
                <w:color w:val="000000"/>
                <w:lang w:eastAsia="en-GB"/>
              </w:rPr>
            </w:pPr>
          </w:p>
        </w:tc>
      </w:tr>
    </w:tbl>
    <w:p w:rsidR="00EF0547" w:rsidRDefault="00EF0547" w14:paraId="00B7B603" w14:textId="77777777"/>
    <w:p w:rsidR="00DC276B" w:rsidRDefault="00DC276B" w14:paraId="25780D8B" w14:textId="77777777"/>
    <w:p w:rsidR="00DC276B" w:rsidRDefault="00DC276B" w14:paraId="34B7AEEB" w14:textId="4AC2812A">
      <w:pPr>
        <w:rPr>
          <w:b/>
          <w:bCs/>
        </w:rPr>
      </w:pPr>
      <w:r w:rsidRPr="00DC276B">
        <w:rPr>
          <w:b/>
          <w:bCs/>
        </w:rPr>
        <w:t>Content</w:t>
      </w:r>
    </w:p>
    <w:p w:rsidRPr="00DC276B" w:rsidR="00DC276B" w:rsidRDefault="00DC276B" w14:paraId="2676ECA8" w14:textId="30443945">
      <w:pPr>
        <w:rPr>
          <w:b/>
          <w:bCs/>
        </w:rPr>
      </w:pPr>
    </w:p>
    <w:p w:rsidR="0026793D" w:rsidP="00DC276B" w:rsidRDefault="0026793D" w14:paraId="29C296E7" w14:textId="396B07E7">
      <w:pPr>
        <w:pStyle w:val="ListParagraph"/>
        <w:numPr>
          <w:ilvl w:val="0"/>
          <w:numId w:val="4"/>
        </w:numPr>
      </w:pPr>
      <w:r>
        <w:t>Introduction</w:t>
      </w:r>
    </w:p>
    <w:p w:rsidR="00DC276B" w:rsidP="00DC276B" w:rsidRDefault="00DC276B" w14:paraId="3AF03CEF" w14:textId="05039BD6">
      <w:pPr>
        <w:pStyle w:val="ListParagraph"/>
        <w:numPr>
          <w:ilvl w:val="0"/>
          <w:numId w:val="4"/>
        </w:numPr>
      </w:pPr>
      <w:r>
        <w:t>Policy</w:t>
      </w:r>
      <w:r w:rsidR="00576F8C">
        <w:t xml:space="preserve"> </w:t>
      </w:r>
      <w:r w:rsidR="00CA0C75">
        <w:t>aims.</w:t>
      </w:r>
    </w:p>
    <w:p w:rsidR="00936267" w:rsidP="00DC276B" w:rsidRDefault="00936267" w14:paraId="5E628E26" w14:textId="770A882D">
      <w:pPr>
        <w:pStyle w:val="ListParagraph"/>
        <w:numPr>
          <w:ilvl w:val="0"/>
          <w:numId w:val="4"/>
        </w:numPr>
      </w:pPr>
      <w:r>
        <w:t>Legislation</w:t>
      </w:r>
    </w:p>
    <w:p w:rsidR="00E130A7" w:rsidP="00DC276B" w:rsidRDefault="00E130A7" w14:paraId="3A1FF7BE" w14:textId="65499586">
      <w:pPr>
        <w:pStyle w:val="ListParagraph"/>
        <w:numPr>
          <w:ilvl w:val="0"/>
          <w:numId w:val="4"/>
        </w:numPr>
        <w:rPr/>
      </w:pPr>
      <w:r w:rsidR="00E130A7">
        <w:rPr/>
        <w:t>Definition</w:t>
      </w:r>
    </w:p>
    <w:p w:rsidR="00AE587B" w:rsidP="00AE587B" w:rsidRDefault="00AE587B" w14:paraId="6F5C2768" w14:textId="669DA847">
      <w:pPr>
        <w:pStyle w:val="ListParagraph"/>
        <w:numPr>
          <w:ilvl w:val="0"/>
          <w:numId w:val="4"/>
        </w:numPr>
        <w:rPr/>
      </w:pPr>
      <w:r w:rsidR="00AE587B">
        <w:rPr/>
        <w:t>Abuse of adults</w:t>
      </w:r>
    </w:p>
    <w:p w:rsidR="00DC276B" w:rsidP="00DC276B" w:rsidRDefault="00DC276B" w14:paraId="1B4555FD" w14:textId="7B31529D">
      <w:pPr>
        <w:pStyle w:val="ListParagraph"/>
        <w:numPr>
          <w:ilvl w:val="0"/>
          <w:numId w:val="4"/>
        </w:numPr>
      </w:pPr>
      <w:r>
        <w:t>Principles</w:t>
      </w:r>
    </w:p>
    <w:p w:rsidR="00DC276B" w:rsidP="00DC276B" w:rsidRDefault="00DC276B" w14:paraId="0E0BC9D6" w14:textId="7CA677E6">
      <w:pPr>
        <w:pStyle w:val="ListParagraph"/>
        <w:numPr>
          <w:ilvl w:val="0"/>
          <w:numId w:val="4"/>
        </w:numPr>
      </w:pPr>
      <w:r>
        <w:t>Making Safeguarding Personal</w:t>
      </w:r>
    </w:p>
    <w:p w:rsidR="00DC276B" w:rsidP="00DC276B" w:rsidRDefault="00DC276B" w14:paraId="13F9D5BA" w14:textId="1F5B4C61">
      <w:pPr>
        <w:pStyle w:val="ListParagraph"/>
        <w:numPr>
          <w:ilvl w:val="0"/>
          <w:numId w:val="4"/>
        </w:numPr>
      </w:pPr>
      <w:r>
        <w:t>Confidentiality</w:t>
      </w:r>
    </w:p>
    <w:p w:rsidRPr="008763F5" w:rsidR="00D84E3F" w:rsidP="00DC276B" w:rsidRDefault="00D84E3F" w14:paraId="08249FA9" w14:textId="361726D1">
      <w:pPr>
        <w:pStyle w:val="ListParagraph"/>
        <w:numPr>
          <w:ilvl w:val="0"/>
          <w:numId w:val="4"/>
        </w:numPr>
      </w:pPr>
      <w:r w:rsidRPr="008763F5">
        <w:t>Responsibility</w:t>
      </w:r>
    </w:p>
    <w:p w:rsidR="00DC276B" w:rsidP="00DC276B" w:rsidRDefault="00DC276B" w14:paraId="6B912741" w14:textId="77777777"/>
    <w:p w:rsidR="00D85D5C" w:rsidP="00DC276B" w:rsidRDefault="00D85D5C" w14:paraId="64C1202B" w14:textId="77777777"/>
    <w:p w:rsidR="00DC276B" w:rsidP="00DC276B" w:rsidRDefault="00DC276B" w14:paraId="08C9BC7D" w14:textId="77777777"/>
    <w:p w:rsidR="00DC276B" w:rsidP="00DC276B" w:rsidRDefault="00DC276B" w14:paraId="3AE4BF37" w14:textId="77777777"/>
    <w:p w:rsidR="00DC276B" w:rsidP="00DC276B" w:rsidRDefault="00DC276B" w14:paraId="306CD807" w14:textId="77777777"/>
    <w:p w:rsidR="00DC276B" w:rsidP="00DC276B" w:rsidRDefault="00DC276B" w14:paraId="73F9B6B1" w14:textId="77777777"/>
    <w:p w:rsidR="00DC276B" w:rsidP="00DC276B" w:rsidRDefault="00DC276B" w14:paraId="096C2A72" w14:textId="77777777"/>
    <w:p w:rsidR="00DC276B" w:rsidP="00DC276B" w:rsidRDefault="00DC276B" w14:paraId="78C7B12D" w14:textId="77777777"/>
    <w:p w:rsidR="00DC276B" w:rsidP="00DC276B" w:rsidRDefault="00DC276B" w14:paraId="3088D6F1" w14:textId="77777777"/>
    <w:p w:rsidR="00DC276B" w:rsidP="00DC276B" w:rsidRDefault="00DC276B" w14:paraId="07436573" w14:textId="77777777"/>
    <w:p w:rsidR="00DC276B" w:rsidP="00DC276B" w:rsidRDefault="00DC276B" w14:paraId="38250130" w14:textId="77777777"/>
    <w:p w:rsidR="00DC276B" w:rsidP="00DC276B" w:rsidRDefault="00DC276B" w14:paraId="12674AF9" w14:textId="77777777"/>
    <w:p w:rsidR="00DC276B" w:rsidP="00DC276B" w:rsidRDefault="00DC276B" w14:paraId="572669DA" w14:textId="77777777"/>
    <w:p w:rsidRPr="0043159B" w:rsidR="00AC3C4D" w:rsidP="0043159B" w:rsidRDefault="00AC3C4D" w14:paraId="66812737" w14:textId="77777777">
      <w:pPr>
        <w:pStyle w:val="ListParagraph"/>
        <w:numPr>
          <w:ilvl w:val="0"/>
          <w:numId w:val="5"/>
        </w:numPr>
        <w:spacing w:before="100" w:beforeAutospacing="1" w:after="0" w:line="240" w:lineRule="auto"/>
        <w:ind w:left="0"/>
        <w:rPr>
          <w:rFonts w:eastAsia="Times New Roman" w:cstheme="minorHAnsi"/>
          <w:b/>
          <w:bCs/>
          <w:color w:val="373A36"/>
          <w:kern w:val="0"/>
          <w:lang w:eastAsia="en-GB"/>
          <w14:ligatures w14:val="none"/>
        </w:rPr>
      </w:pPr>
      <w:r w:rsidRPr="0043159B">
        <w:rPr>
          <w:rFonts w:eastAsia="Times New Roman" w:cstheme="minorHAnsi"/>
          <w:b/>
          <w:bCs/>
          <w:color w:val="373A36"/>
          <w:kern w:val="0"/>
          <w:lang w:eastAsia="en-GB"/>
          <w14:ligatures w14:val="none"/>
        </w:rPr>
        <w:t xml:space="preserve">Introduction </w:t>
      </w:r>
    </w:p>
    <w:p w:rsidRPr="0043159B" w:rsidR="00B9213C" w:rsidP="0043159B" w:rsidRDefault="00BA411C" w14:paraId="4CDA1991" w14:textId="520009B4">
      <w:pPr>
        <w:spacing w:before="100" w:beforeAutospacing="1" w:after="0" w:line="240" w:lineRule="auto"/>
        <w:rPr>
          <w:rFonts w:eastAsia="Times New Roman" w:cstheme="minorHAnsi"/>
          <w:color w:val="373A36"/>
          <w:kern w:val="0"/>
          <w:lang w:eastAsia="en-GB"/>
          <w14:ligatures w14:val="none"/>
        </w:rPr>
      </w:pPr>
      <w:r w:rsidRPr="0043159B">
        <w:rPr>
          <w:rFonts w:eastAsia="Times New Roman" w:cstheme="minorHAnsi"/>
          <w:color w:val="373A36"/>
          <w:kern w:val="0"/>
          <w:lang w:eastAsia="en-GB"/>
          <w14:ligatures w14:val="none"/>
        </w:rPr>
        <w:t xml:space="preserve">Lord’s Taverners believes that Adults should never experience abuse of any kind. Through the implementation of this safeguarding policy, Lord’s Taverners will demonstrate its commitment to safeguarding and promoting the welfare of all </w:t>
      </w:r>
      <w:r w:rsidRPr="0043159B" w:rsidR="00B9213C">
        <w:rPr>
          <w:rFonts w:eastAsia="Times New Roman" w:cstheme="minorHAnsi"/>
          <w:color w:val="373A36"/>
          <w:kern w:val="0"/>
          <w:lang w:eastAsia="en-GB"/>
          <w14:ligatures w14:val="none"/>
        </w:rPr>
        <w:t>Adult involved with its activities.</w:t>
      </w:r>
    </w:p>
    <w:p w:rsidRPr="0043159B" w:rsidR="000160C8" w:rsidP="0043159B" w:rsidRDefault="000160C8" w14:paraId="28ACA3B1" w14:textId="374530B6">
      <w:pPr>
        <w:spacing w:before="100" w:beforeAutospacing="1" w:after="0" w:line="240" w:lineRule="auto"/>
        <w:rPr>
          <w:rFonts w:eastAsia="Times New Roman" w:cstheme="minorHAnsi"/>
          <w:color w:val="373A36"/>
          <w:kern w:val="0"/>
          <w:lang w:eastAsia="en-GB"/>
          <w14:ligatures w14:val="none"/>
        </w:rPr>
      </w:pPr>
      <w:r w:rsidRPr="0043159B">
        <w:rPr>
          <w:rFonts w:cstheme="minorHAnsi"/>
        </w:rPr>
        <w:t xml:space="preserve">Safeguarding means protecting an </w:t>
      </w:r>
      <w:proofErr w:type="gramStart"/>
      <w:r w:rsidRPr="0043159B">
        <w:rPr>
          <w:rFonts w:cstheme="minorHAnsi"/>
        </w:rPr>
        <w:t>adults</w:t>
      </w:r>
      <w:proofErr w:type="gramEnd"/>
      <w:r w:rsidRPr="0043159B">
        <w:rPr>
          <w:rFonts w:cstheme="minorHAnsi"/>
        </w:rPr>
        <w:t xml:space="preserve"> right to live safely, free from abuse and neglect.</w:t>
      </w:r>
    </w:p>
    <w:p w:rsidRPr="002E24D8" w:rsidR="00EF0547" w:rsidP="0043159B" w:rsidRDefault="00576F8C" w14:paraId="5D3AAB15" w14:textId="6D2E711F">
      <w:pPr>
        <w:pStyle w:val="ListParagraph"/>
        <w:numPr>
          <w:ilvl w:val="0"/>
          <w:numId w:val="5"/>
        </w:numPr>
        <w:spacing w:before="100" w:beforeAutospacing="1" w:after="0" w:line="240" w:lineRule="auto"/>
        <w:ind w:left="0"/>
        <w:rPr>
          <w:rFonts w:cstheme="minorHAnsi"/>
          <w:b/>
          <w:bCs/>
        </w:rPr>
      </w:pPr>
      <w:r w:rsidRPr="002E24D8">
        <w:rPr>
          <w:rFonts w:cstheme="minorHAnsi"/>
          <w:b/>
          <w:bCs/>
        </w:rPr>
        <w:t>Policy</w:t>
      </w:r>
      <w:r w:rsidRPr="002E24D8" w:rsidR="00936267">
        <w:rPr>
          <w:rFonts w:cstheme="minorHAnsi"/>
          <w:b/>
          <w:bCs/>
        </w:rPr>
        <w:t xml:space="preserve"> </w:t>
      </w:r>
      <w:proofErr w:type="gramStart"/>
      <w:r w:rsidRPr="002E24D8" w:rsidR="00936267">
        <w:rPr>
          <w:rFonts w:cstheme="minorHAnsi"/>
          <w:b/>
          <w:bCs/>
        </w:rPr>
        <w:t>aims</w:t>
      </w:r>
      <w:proofErr w:type="gramEnd"/>
    </w:p>
    <w:p w:rsidRPr="002E24D8" w:rsidR="00AC3C4D" w:rsidP="0043159B" w:rsidRDefault="00AC3C4D" w14:paraId="76C5C54F" w14:textId="77777777">
      <w:pPr>
        <w:pStyle w:val="ListParagraph"/>
        <w:spacing w:before="100" w:beforeAutospacing="1" w:after="0" w:line="240" w:lineRule="auto"/>
        <w:ind w:left="0"/>
        <w:rPr>
          <w:rFonts w:cstheme="minorHAnsi"/>
          <w:b/>
          <w:bCs/>
        </w:rPr>
      </w:pPr>
    </w:p>
    <w:p w:rsidRPr="002E24D8" w:rsidR="00EF0547" w:rsidP="0043159B" w:rsidRDefault="00EF0547" w14:paraId="4CDC2E30" w14:textId="22CE3E59">
      <w:pPr>
        <w:rPr>
          <w:rFonts w:cstheme="minorHAnsi"/>
        </w:rPr>
      </w:pPr>
      <w:r w:rsidRPr="002E24D8">
        <w:rPr>
          <w:rFonts w:cstheme="minorHAnsi"/>
        </w:rPr>
        <w:t xml:space="preserve">The aims of our Safeguarding Adults Policy </w:t>
      </w:r>
      <w:proofErr w:type="gramStart"/>
      <w:r w:rsidRPr="002E24D8">
        <w:rPr>
          <w:rFonts w:cstheme="minorHAnsi"/>
        </w:rPr>
        <w:t>is</w:t>
      </w:r>
      <w:proofErr w:type="gramEnd"/>
      <w:r w:rsidRPr="002E24D8">
        <w:rPr>
          <w:rFonts w:cstheme="minorHAnsi"/>
        </w:rPr>
        <w:t xml:space="preserve"> to:</w:t>
      </w:r>
    </w:p>
    <w:p w:rsidRPr="002E24D8" w:rsidR="00EF0547" w:rsidP="34B6BA3D" w:rsidRDefault="00EF0547" w14:paraId="240E3002" w14:textId="375DD68B" w14:noSpellErr="1">
      <w:pPr>
        <w:rPr>
          <w:rFonts w:cs="Calibri" w:cstheme="minorAscii"/>
        </w:rPr>
      </w:pPr>
      <w:r w:rsidRPr="34B6BA3D" w:rsidR="00EF0547">
        <w:rPr>
          <w:rFonts w:cs="Calibri" w:cstheme="minorAscii"/>
        </w:rPr>
        <w:t xml:space="preserve"> • Stop abuse or neglect </w:t>
      </w:r>
      <w:r w:rsidRPr="34B6BA3D" w:rsidR="00A55296">
        <w:rPr>
          <w:rFonts w:cs="Calibri" w:cstheme="minorAscii"/>
        </w:rPr>
        <w:t>wherever</w:t>
      </w:r>
      <w:r w:rsidRPr="34B6BA3D" w:rsidR="00EF0547">
        <w:rPr>
          <w:rFonts w:cs="Calibri" w:cstheme="minorAscii"/>
        </w:rPr>
        <w:t xml:space="preserve"> possible. </w:t>
      </w:r>
    </w:p>
    <w:p w:rsidRPr="002E24D8" w:rsidR="00EF0547" w:rsidP="0043159B" w:rsidRDefault="00EF0547" w14:paraId="7AD36DD6" w14:textId="77777777">
      <w:pPr>
        <w:rPr>
          <w:rFonts w:cstheme="minorHAnsi"/>
        </w:rPr>
      </w:pPr>
      <w:r w:rsidRPr="002E24D8">
        <w:rPr>
          <w:rFonts w:cstheme="minorHAnsi"/>
        </w:rPr>
        <w:t>• Prevent harm and reduce the risk of abuse or neglect to adults with care and support needs.</w:t>
      </w:r>
    </w:p>
    <w:p w:rsidRPr="002E24D8" w:rsidR="00EF0547" w:rsidP="0043159B" w:rsidRDefault="00EF0547" w14:paraId="04EBFF1C" w14:textId="4D4D36CC">
      <w:pPr>
        <w:rPr>
          <w:rFonts w:cstheme="minorHAnsi"/>
          <w:strike/>
        </w:rPr>
      </w:pPr>
      <w:r w:rsidRPr="002E24D8">
        <w:rPr>
          <w:rFonts w:cstheme="minorHAnsi"/>
        </w:rPr>
        <w:t xml:space="preserve"> • Safeguard adults in a way that supports them in making choices </w:t>
      </w:r>
      <w:r w:rsidRPr="002E24D8">
        <w:rPr>
          <w:rFonts w:cstheme="minorHAnsi"/>
          <w:strike/>
        </w:rPr>
        <w:t xml:space="preserve"> </w:t>
      </w:r>
    </w:p>
    <w:p w:rsidRPr="0043159B" w:rsidR="00EF0547" w:rsidP="0043159B" w:rsidRDefault="00EF0547" w14:paraId="4E8F9A8D" w14:textId="77777777">
      <w:pPr>
        <w:rPr>
          <w:rFonts w:cstheme="minorHAnsi"/>
        </w:rPr>
      </w:pPr>
      <w:r w:rsidRPr="002E24D8">
        <w:rPr>
          <w:rFonts w:cstheme="minorHAnsi"/>
        </w:rPr>
        <w:t>• Promote an approach that concentrates on improving life for the adults concerned.</w:t>
      </w:r>
    </w:p>
    <w:p w:rsidRPr="0043159B" w:rsidR="00EF0547" w:rsidP="0043159B" w:rsidRDefault="00EF0547" w14:paraId="43D09D7C" w14:textId="688843E4">
      <w:pPr>
        <w:rPr>
          <w:rFonts w:cstheme="minorHAnsi"/>
        </w:rPr>
      </w:pPr>
      <w:r w:rsidRPr="0043159B">
        <w:rPr>
          <w:rFonts w:cstheme="minorHAnsi"/>
        </w:rPr>
        <w:t xml:space="preserve"> • Raise awareness</w:t>
      </w:r>
      <w:r w:rsidRPr="0043159B" w:rsidR="00B12957">
        <w:rPr>
          <w:rFonts w:cstheme="minorHAnsi"/>
        </w:rPr>
        <w:t>, so all those connected with Lords’ Taverners</w:t>
      </w:r>
      <w:r w:rsidRPr="0043159B">
        <w:rPr>
          <w:rFonts w:cstheme="minorHAnsi"/>
        </w:rPr>
        <w:t xml:space="preserve"> play their part in identifying and preventing abuse and neglect. </w:t>
      </w:r>
    </w:p>
    <w:p w:rsidRPr="0043159B" w:rsidR="00E764B1" w:rsidP="0043159B" w:rsidRDefault="00E764B1" w14:paraId="7DD7AD46" w14:textId="77777777">
      <w:pPr>
        <w:rPr>
          <w:rFonts w:cstheme="minorHAnsi"/>
          <w:b/>
          <w:bCs/>
        </w:rPr>
      </w:pPr>
    </w:p>
    <w:p w:rsidRPr="0043159B" w:rsidR="00E764B1" w:rsidP="0043159B" w:rsidRDefault="00E764B1" w14:paraId="0AE0FB76" w14:textId="46CF2C04">
      <w:pPr>
        <w:pStyle w:val="ListParagraph"/>
        <w:numPr>
          <w:ilvl w:val="0"/>
          <w:numId w:val="5"/>
        </w:numPr>
        <w:ind w:left="0"/>
        <w:rPr>
          <w:rFonts w:cstheme="minorHAnsi"/>
          <w:b/>
          <w:bCs/>
        </w:rPr>
      </w:pPr>
      <w:r w:rsidRPr="0043159B">
        <w:rPr>
          <w:rFonts w:cstheme="minorHAnsi"/>
          <w:b/>
          <w:bCs/>
        </w:rPr>
        <w:t>Legi</w:t>
      </w:r>
      <w:r w:rsidRPr="0043159B" w:rsidR="00771184">
        <w:rPr>
          <w:rFonts w:cstheme="minorHAnsi"/>
          <w:b/>
          <w:bCs/>
        </w:rPr>
        <w:t xml:space="preserve">slation </w:t>
      </w:r>
    </w:p>
    <w:p w:rsidRPr="0043159B" w:rsidR="002142FE" w:rsidP="0043159B" w:rsidRDefault="002142FE" w14:paraId="49D41F3E" w14:textId="77777777">
      <w:pPr>
        <w:pStyle w:val="ListParagraph"/>
        <w:spacing w:after="0" w:line="276" w:lineRule="auto"/>
        <w:ind w:left="0"/>
        <w:jc w:val="both"/>
        <w:rPr>
          <w:rFonts w:cstheme="minorHAnsi"/>
        </w:rPr>
      </w:pPr>
    </w:p>
    <w:p w:rsidRPr="0043159B" w:rsidR="005B5AC4" w:rsidP="0043159B" w:rsidRDefault="005B5AC4" w14:paraId="0F9B2E26" w14:textId="39A353D7">
      <w:pPr>
        <w:pStyle w:val="ListParagraph"/>
        <w:spacing w:after="0" w:line="276" w:lineRule="auto"/>
        <w:ind w:left="0"/>
        <w:jc w:val="both"/>
        <w:rPr>
          <w:rFonts w:cstheme="minorHAnsi"/>
          <w:b/>
          <w:bCs/>
        </w:rPr>
      </w:pPr>
      <w:r w:rsidRPr="0043159B">
        <w:rPr>
          <w:rFonts w:cstheme="minorHAnsi"/>
        </w:rPr>
        <w:t xml:space="preserve">We recognise and seek to meet all duties expected by our principal regulator, the Charity Commission for England and Wales </w:t>
      </w:r>
      <w:hyperlink w:history="1" r:id="rId14">
        <w:r w:rsidRPr="0043159B">
          <w:rPr>
            <w:rStyle w:val="Hyperlink"/>
            <w:rFonts w:cstheme="minorHAnsi"/>
          </w:rPr>
          <w:t>for safeguarding and protecting people</w:t>
        </w:r>
      </w:hyperlink>
      <w:r w:rsidRPr="0043159B">
        <w:rPr>
          <w:rFonts w:cstheme="minorHAnsi"/>
        </w:rPr>
        <w:t xml:space="preserve"> and </w:t>
      </w:r>
      <w:hyperlink w:history="1" w:anchor="what-is-the-purpose-of-this-guidance-and-who-should-read-it" r:id="rId15">
        <w:r w:rsidRPr="0043159B">
          <w:rPr>
            <w:rStyle w:val="Hyperlink"/>
            <w:rFonts w:cstheme="minorHAnsi"/>
          </w:rPr>
          <w:t>protecting charities from abuse for extremist purposes</w:t>
        </w:r>
      </w:hyperlink>
      <w:r w:rsidRPr="0043159B">
        <w:rPr>
          <w:rFonts w:cstheme="minorHAnsi"/>
        </w:rPr>
        <w:t>.</w:t>
      </w:r>
    </w:p>
    <w:p w:rsidRPr="0043159B" w:rsidR="005B5AC4" w:rsidP="0043159B" w:rsidRDefault="005B5AC4" w14:paraId="4ED9731B" w14:textId="77777777">
      <w:pPr>
        <w:pStyle w:val="ListParagraph"/>
        <w:spacing w:after="0"/>
        <w:ind w:left="0"/>
        <w:jc w:val="both"/>
        <w:rPr>
          <w:rFonts w:cstheme="minorHAnsi"/>
        </w:rPr>
      </w:pPr>
      <w:r w:rsidRPr="0043159B">
        <w:rPr>
          <w:rFonts w:cstheme="minorHAnsi"/>
        </w:rPr>
        <w:t xml:space="preserve">In developing this policy and any associated procedures and guidance, we have referred to key domestic legislation as expected by the Charity Commission including </w:t>
      </w:r>
      <w:hyperlink w:history="1" r:id="rId16">
        <w:r w:rsidRPr="0043159B">
          <w:rPr>
            <w:rStyle w:val="Hyperlink"/>
            <w:rFonts w:cstheme="minorHAnsi"/>
          </w:rPr>
          <w:t>The Charities Acts 2006</w:t>
        </w:r>
      </w:hyperlink>
      <w:r w:rsidRPr="0043159B">
        <w:rPr>
          <w:rFonts w:cstheme="minorHAnsi"/>
        </w:rPr>
        <w:t xml:space="preserve"> &amp; </w:t>
      </w:r>
      <w:hyperlink w:history="1" r:id="rId17">
        <w:r w:rsidRPr="0043159B">
          <w:rPr>
            <w:rStyle w:val="Hyperlink"/>
            <w:rFonts w:cstheme="minorHAnsi"/>
          </w:rPr>
          <w:t>2011</w:t>
        </w:r>
      </w:hyperlink>
      <w:r w:rsidRPr="0043159B">
        <w:rPr>
          <w:rFonts w:cstheme="minorHAnsi"/>
        </w:rPr>
        <w:t xml:space="preserve">, the </w:t>
      </w:r>
      <w:hyperlink w:history="1" r:id="rId18">
        <w:r w:rsidRPr="0043159B">
          <w:rPr>
            <w:rStyle w:val="Hyperlink"/>
            <w:rFonts w:cstheme="minorHAnsi"/>
          </w:rPr>
          <w:t>Children Act 1989</w:t>
        </w:r>
      </w:hyperlink>
      <w:r w:rsidRPr="0043159B">
        <w:rPr>
          <w:rFonts w:cstheme="minorHAnsi"/>
        </w:rPr>
        <w:t xml:space="preserve"> &amp; </w:t>
      </w:r>
      <w:hyperlink w:history="1" r:id="rId19">
        <w:r w:rsidRPr="0043159B">
          <w:rPr>
            <w:rStyle w:val="Hyperlink"/>
            <w:rFonts w:cstheme="minorHAnsi"/>
          </w:rPr>
          <w:t>2004</w:t>
        </w:r>
      </w:hyperlink>
      <w:r w:rsidRPr="0043159B">
        <w:rPr>
          <w:rFonts w:cstheme="minorHAnsi"/>
        </w:rPr>
        <w:t xml:space="preserve">, the </w:t>
      </w:r>
      <w:hyperlink w:history="1" r:id="rId20">
        <w:r w:rsidRPr="0043159B">
          <w:rPr>
            <w:rStyle w:val="Hyperlink"/>
            <w:rFonts w:cstheme="minorHAnsi"/>
          </w:rPr>
          <w:t>Protection of Children Act 1999</w:t>
        </w:r>
      </w:hyperlink>
      <w:r w:rsidRPr="0043159B">
        <w:rPr>
          <w:rFonts w:cstheme="minorHAnsi"/>
        </w:rPr>
        <w:t xml:space="preserve"> and the </w:t>
      </w:r>
      <w:hyperlink w:history="1" r:id="rId21">
        <w:r w:rsidRPr="0043159B">
          <w:rPr>
            <w:rStyle w:val="Hyperlink"/>
            <w:rFonts w:cstheme="minorHAnsi"/>
          </w:rPr>
          <w:t>Safeguarding Vulnerable Groups Act 2006</w:t>
        </w:r>
      </w:hyperlink>
      <w:r w:rsidRPr="0043159B">
        <w:rPr>
          <w:rFonts w:cstheme="minorHAnsi"/>
        </w:rPr>
        <w:t xml:space="preserve">, the </w:t>
      </w:r>
      <w:hyperlink w:history="1" r:id="rId22">
        <w:r w:rsidRPr="0043159B">
          <w:rPr>
            <w:rStyle w:val="Hyperlink"/>
            <w:rFonts w:cstheme="minorHAnsi"/>
          </w:rPr>
          <w:t>Care Act 2014</w:t>
        </w:r>
      </w:hyperlink>
      <w:r w:rsidRPr="0043159B">
        <w:rPr>
          <w:rStyle w:val="Hyperlink"/>
          <w:rFonts w:cstheme="minorHAnsi"/>
        </w:rPr>
        <w:t>,</w:t>
      </w:r>
      <w:r w:rsidRPr="0043159B">
        <w:rPr>
          <w:rFonts w:cstheme="minorHAnsi"/>
        </w:rPr>
        <w:t xml:space="preserve"> </w:t>
      </w:r>
      <w:hyperlink w:history="1" r:id="rId23">
        <w:r w:rsidRPr="0043159B">
          <w:rPr>
            <w:rStyle w:val="Hyperlink"/>
            <w:rFonts w:cstheme="minorHAnsi"/>
          </w:rPr>
          <w:t>the Data Protection Act 2018</w:t>
        </w:r>
      </w:hyperlink>
      <w:r w:rsidRPr="0043159B">
        <w:rPr>
          <w:rStyle w:val="Hyperlink"/>
          <w:rFonts w:cstheme="minorHAnsi"/>
        </w:rPr>
        <w:t xml:space="preserve">, </w:t>
      </w:r>
      <w:bookmarkStart w:name="_Hlk66651804" w:id="1"/>
      <w:r w:rsidRPr="0043159B">
        <w:rPr>
          <w:rFonts w:cstheme="minorHAnsi"/>
        </w:rPr>
        <w:fldChar w:fldCharType="begin"/>
      </w:r>
      <w:r w:rsidRPr="0043159B">
        <w:rPr>
          <w:rFonts w:cstheme="minorHAnsi"/>
        </w:rPr>
        <w:instrText xml:space="preserve"> HYPERLINK "https://www.legislation.gov.uk/ukpga/1998/23/contents" </w:instrText>
      </w:r>
      <w:r w:rsidRPr="0043159B">
        <w:rPr>
          <w:rFonts w:cstheme="minorHAnsi"/>
        </w:rPr>
      </w:r>
      <w:r w:rsidRPr="0043159B">
        <w:rPr>
          <w:rFonts w:cstheme="minorHAnsi"/>
        </w:rPr>
        <w:fldChar w:fldCharType="separate"/>
      </w:r>
      <w:r w:rsidRPr="0043159B">
        <w:rPr>
          <w:rStyle w:val="Hyperlink"/>
          <w:rFonts w:cstheme="minorHAnsi"/>
        </w:rPr>
        <w:t>Public Interest Disclosure Act 1998</w:t>
      </w:r>
      <w:r w:rsidRPr="0043159B">
        <w:rPr>
          <w:rFonts w:cstheme="minorHAnsi"/>
        </w:rPr>
        <w:fldChar w:fldCharType="end"/>
      </w:r>
      <w:r w:rsidRPr="0043159B">
        <w:rPr>
          <w:rFonts w:cstheme="minorHAnsi"/>
        </w:rPr>
        <w:t xml:space="preserve">, the </w:t>
      </w:r>
      <w:hyperlink w:history="1" r:id="rId24">
        <w:r w:rsidRPr="0043159B">
          <w:rPr>
            <w:rStyle w:val="Hyperlink"/>
            <w:rFonts w:cstheme="minorHAnsi"/>
          </w:rPr>
          <w:t>Equality Act 2010</w:t>
        </w:r>
      </w:hyperlink>
      <w:r w:rsidRPr="0043159B">
        <w:rPr>
          <w:rFonts w:cstheme="minorHAnsi"/>
        </w:rPr>
        <w:t xml:space="preserve"> </w:t>
      </w:r>
      <w:bookmarkEnd w:id="1"/>
      <w:r w:rsidRPr="0043159B">
        <w:rPr>
          <w:rFonts w:cstheme="minorHAnsi"/>
        </w:rPr>
        <w:t xml:space="preserve">and in light of the principles of the </w:t>
      </w:r>
      <w:hyperlink w:history="1" r:id="rId25">
        <w:r w:rsidRPr="0043159B">
          <w:rPr>
            <w:rStyle w:val="Hyperlink"/>
            <w:rFonts w:cstheme="minorHAnsi"/>
          </w:rPr>
          <w:t>Mental Capacity Act 2005</w:t>
        </w:r>
      </w:hyperlink>
      <w:r w:rsidRPr="0043159B">
        <w:rPr>
          <w:rFonts w:cstheme="minorHAnsi"/>
        </w:rPr>
        <w:t xml:space="preserve"> and the </w:t>
      </w:r>
      <w:hyperlink w:history="1" r:id="rId26">
        <w:r w:rsidRPr="0043159B">
          <w:rPr>
            <w:rStyle w:val="Hyperlink"/>
            <w:rFonts w:cstheme="minorHAnsi"/>
          </w:rPr>
          <w:t>Counter-Terrorism and Security Act 2015</w:t>
        </w:r>
      </w:hyperlink>
      <w:r w:rsidRPr="0043159B">
        <w:rPr>
          <w:rFonts w:cstheme="minorHAnsi"/>
        </w:rPr>
        <w:t xml:space="preserve">. </w:t>
      </w:r>
    </w:p>
    <w:p w:rsidRPr="0043159B" w:rsidR="002142FE" w:rsidP="0043159B" w:rsidRDefault="002142FE" w14:paraId="2AE62E75" w14:textId="77777777">
      <w:pPr>
        <w:spacing w:after="0"/>
        <w:jc w:val="both"/>
        <w:rPr>
          <w:rFonts w:cstheme="minorHAnsi"/>
        </w:rPr>
      </w:pPr>
      <w:r w:rsidRPr="0043159B">
        <w:rPr>
          <w:rFonts w:cstheme="minorHAnsi"/>
        </w:rPr>
        <w:t xml:space="preserve">   </w:t>
      </w:r>
    </w:p>
    <w:p w:rsidRPr="0043159B" w:rsidR="005B5AC4" w:rsidP="0043159B" w:rsidRDefault="005B5AC4" w14:paraId="76AB5CA5" w14:textId="7CD8F970">
      <w:pPr>
        <w:spacing w:after="0"/>
        <w:jc w:val="both"/>
        <w:rPr>
          <w:rFonts w:cstheme="minorHAnsi"/>
        </w:rPr>
      </w:pPr>
      <w:r w:rsidRPr="0043159B">
        <w:rPr>
          <w:rFonts w:cstheme="minorHAnsi"/>
        </w:rPr>
        <w:t xml:space="preserve">The Lord’s Taverners operates across the United Kingdom and Northern Ireland. The principles underpinning this policy are developed </w:t>
      </w:r>
      <w:proofErr w:type="gramStart"/>
      <w:r w:rsidRPr="0043159B">
        <w:rPr>
          <w:rFonts w:cstheme="minorHAnsi"/>
        </w:rPr>
        <w:t>with regard to</w:t>
      </w:r>
      <w:proofErr w:type="gramEnd"/>
      <w:r w:rsidRPr="0043159B">
        <w:rPr>
          <w:rFonts w:cstheme="minorHAnsi"/>
        </w:rPr>
        <w:t xml:space="preserve"> UK legislation. They apply across the organisation, irrespective of location. However, specific legal obligations and context for our safeguarding activity will vary according to the nation in which we are operating.</w:t>
      </w:r>
    </w:p>
    <w:p w:rsidRPr="0043159B" w:rsidR="005B5AC4" w:rsidP="0043159B" w:rsidRDefault="005B5AC4" w14:paraId="0EC3B8AD" w14:textId="77777777">
      <w:pPr>
        <w:rPr>
          <w:rFonts w:cstheme="minorHAnsi"/>
        </w:rPr>
      </w:pPr>
    </w:p>
    <w:p w:rsidRPr="0043159B" w:rsidR="005B5AC4" w:rsidP="0043159B" w:rsidRDefault="005B5AC4" w14:paraId="7BEB5EA7" w14:textId="77777777">
      <w:pPr>
        <w:rPr>
          <w:rFonts w:cstheme="minorHAnsi"/>
        </w:rPr>
      </w:pPr>
    </w:p>
    <w:p w:rsidRPr="0043159B" w:rsidR="007F7863" w:rsidP="0043159B" w:rsidRDefault="007F7863" w14:paraId="35128082" w14:textId="77777777">
      <w:pPr>
        <w:pStyle w:val="ListParagraph"/>
        <w:ind w:left="0"/>
        <w:rPr>
          <w:rFonts w:cstheme="minorHAnsi"/>
        </w:rPr>
      </w:pPr>
    </w:p>
    <w:p w:rsidR="007F7863" w:rsidP="0043159B" w:rsidRDefault="007F7863" w14:paraId="13454373" w14:textId="0FFC9783">
      <w:pPr>
        <w:pStyle w:val="ListParagraph"/>
        <w:numPr>
          <w:ilvl w:val="0"/>
          <w:numId w:val="5"/>
        </w:numPr>
        <w:ind w:left="0"/>
        <w:rPr>
          <w:rFonts w:cstheme="minorHAnsi"/>
          <w:b/>
          <w:bCs/>
        </w:rPr>
      </w:pPr>
      <w:r w:rsidRPr="0043159B">
        <w:rPr>
          <w:rFonts w:cstheme="minorHAnsi"/>
          <w:b/>
          <w:bCs/>
        </w:rPr>
        <w:t>Definition</w:t>
      </w:r>
    </w:p>
    <w:p w:rsidR="0043159B" w:rsidP="0043159B" w:rsidRDefault="0043159B" w14:paraId="0E341BBC" w14:textId="77777777">
      <w:pPr>
        <w:pStyle w:val="ListParagraph"/>
        <w:ind w:left="0"/>
        <w:rPr>
          <w:rFonts w:cstheme="minorHAnsi"/>
          <w:b/>
          <w:bCs/>
        </w:rPr>
      </w:pPr>
    </w:p>
    <w:p w:rsidR="00A42F78" w:rsidP="00E21FD0" w:rsidRDefault="00A42F78" w14:paraId="3DDD6E3B" w14:textId="77777777">
      <w:pPr>
        <w:shd w:val="clear" w:color="auto" w:fill="FFFFFF"/>
        <w:spacing w:after="0" w:line="240" w:lineRule="auto"/>
        <w:rPr>
          <w:rFonts w:eastAsia="Times New Roman" w:cstheme="minorHAnsi"/>
          <w:color w:val="040C28"/>
          <w:kern w:val="0"/>
          <w:lang w:val="en" w:eastAsia="en-GB"/>
          <w14:ligatures w14:val="none"/>
        </w:rPr>
      </w:pPr>
      <w:r>
        <w:rPr>
          <w:rFonts w:eastAsia="Times New Roman" w:cstheme="minorHAnsi"/>
          <w:color w:val="040C28"/>
          <w:kern w:val="0"/>
          <w:lang w:val="en" w:eastAsia="en-GB"/>
          <w14:ligatures w14:val="none"/>
        </w:rPr>
        <w:t xml:space="preserve">Safeguarding adults is defined </w:t>
      </w:r>
      <w:proofErr w:type="gramStart"/>
      <w:r>
        <w:rPr>
          <w:rFonts w:eastAsia="Times New Roman" w:cstheme="minorHAnsi"/>
          <w:color w:val="040C28"/>
          <w:kern w:val="0"/>
          <w:lang w:val="en" w:eastAsia="en-GB"/>
          <w14:ligatures w14:val="none"/>
        </w:rPr>
        <w:t>as :</w:t>
      </w:r>
      <w:proofErr w:type="gramEnd"/>
      <w:r>
        <w:rPr>
          <w:rFonts w:eastAsia="Times New Roman" w:cstheme="minorHAnsi"/>
          <w:color w:val="040C28"/>
          <w:kern w:val="0"/>
          <w:lang w:val="en" w:eastAsia="en-GB"/>
          <w14:ligatures w14:val="none"/>
        </w:rPr>
        <w:t>-</w:t>
      </w:r>
    </w:p>
    <w:p w:rsidR="00A42F78" w:rsidP="00E21FD0" w:rsidRDefault="00A42F78" w14:paraId="464ABCE4" w14:textId="77777777">
      <w:pPr>
        <w:shd w:val="clear" w:color="auto" w:fill="FFFFFF"/>
        <w:spacing w:after="0" w:line="240" w:lineRule="auto"/>
        <w:rPr>
          <w:rFonts w:eastAsia="Times New Roman" w:cstheme="minorHAnsi"/>
          <w:color w:val="040C28"/>
          <w:kern w:val="0"/>
          <w:lang w:val="en" w:eastAsia="en-GB"/>
          <w14:ligatures w14:val="none"/>
        </w:rPr>
      </w:pPr>
    </w:p>
    <w:p w:rsidRPr="00E21FD0" w:rsidR="00E21FD0" w:rsidP="00E21FD0" w:rsidRDefault="00A42F78" w14:paraId="74322ACB" w14:textId="5D6E1032">
      <w:pPr>
        <w:shd w:val="clear" w:color="auto" w:fill="FFFFFF"/>
        <w:spacing w:after="0" w:line="240" w:lineRule="auto"/>
        <w:rPr>
          <w:rFonts w:eastAsia="Times New Roman" w:cstheme="minorHAnsi"/>
          <w:color w:val="202124"/>
          <w:kern w:val="0"/>
          <w:lang w:eastAsia="en-GB"/>
          <w14:ligatures w14:val="none"/>
        </w:rPr>
      </w:pPr>
      <w:r>
        <w:rPr>
          <w:rFonts w:eastAsia="Times New Roman" w:cstheme="minorHAnsi"/>
          <w:color w:val="040C28"/>
          <w:kern w:val="0"/>
          <w:lang w:val="en" w:eastAsia="en-GB"/>
          <w14:ligatures w14:val="none"/>
        </w:rPr>
        <w:t>‘’</w:t>
      </w:r>
      <w:r w:rsidR="00E21FD0">
        <w:rPr>
          <w:rFonts w:eastAsia="Times New Roman" w:cstheme="minorHAnsi"/>
          <w:color w:val="040C28"/>
          <w:kern w:val="0"/>
          <w:lang w:val="en" w:eastAsia="en-GB"/>
          <w14:ligatures w14:val="none"/>
        </w:rPr>
        <w:t>pr</w:t>
      </w:r>
      <w:r w:rsidRPr="00E21FD0" w:rsidR="00E21FD0">
        <w:rPr>
          <w:rFonts w:eastAsia="Times New Roman" w:cstheme="minorHAnsi"/>
          <w:color w:val="040C28"/>
          <w:kern w:val="0"/>
          <w:lang w:val="en" w:eastAsia="en-GB"/>
          <w14:ligatures w14:val="none"/>
        </w:rPr>
        <w:t xml:space="preserve">otecting an </w:t>
      </w:r>
      <w:proofErr w:type="gramStart"/>
      <w:r w:rsidRPr="00E21FD0" w:rsidR="00E21FD0">
        <w:rPr>
          <w:rFonts w:eastAsia="Times New Roman" w:cstheme="minorHAnsi"/>
          <w:color w:val="040C28"/>
          <w:kern w:val="0"/>
          <w:lang w:val="en" w:eastAsia="en-GB"/>
          <w14:ligatures w14:val="none"/>
        </w:rPr>
        <w:t>adult's</w:t>
      </w:r>
      <w:proofErr w:type="gramEnd"/>
      <w:r w:rsidRPr="00E21FD0" w:rsidR="00E21FD0">
        <w:rPr>
          <w:rFonts w:eastAsia="Times New Roman" w:cstheme="minorHAnsi"/>
          <w:color w:val="040C28"/>
          <w:kern w:val="0"/>
          <w:lang w:val="en" w:eastAsia="en-GB"/>
          <w14:ligatures w14:val="none"/>
        </w:rPr>
        <w:t xml:space="preserve"> right to live in safety, free from abuse and neglect</w:t>
      </w:r>
      <w:r w:rsidRPr="00E21FD0" w:rsidR="00E21FD0">
        <w:rPr>
          <w:rFonts w:eastAsia="Times New Roman" w:cstheme="minorHAnsi"/>
          <w:color w:val="202124"/>
          <w:kern w:val="0"/>
          <w:lang w:val="en" w:eastAsia="en-GB"/>
          <w14:ligatures w14:val="none"/>
        </w:rPr>
        <w:t>. The aims of adult safeguarding are to: prevent harm and reduce the risk of abuse or neglect to adults with care and support needs. stop abuse or neglect wherever possible.</w:t>
      </w:r>
      <w:r w:rsidR="00A803BB">
        <w:rPr>
          <w:rFonts w:eastAsia="Times New Roman" w:cstheme="minorHAnsi"/>
          <w:color w:val="202124"/>
          <w:kern w:val="0"/>
          <w:lang w:val="en" w:eastAsia="en-GB"/>
          <w14:ligatures w14:val="none"/>
        </w:rPr>
        <w:t>’’</w:t>
      </w:r>
    </w:p>
    <w:p w:rsidR="00E21FD0" w:rsidP="0043159B" w:rsidRDefault="00E21FD0" w14:paraId="7E884227" w14:textId="77777777">
      <w:pPr>
        <w:pStyle w:val="ListParagraph"/>
        <w:ind w:left="0"/>
        <w:rPr>
          <w:rFonts w:cstheme="minorHAnsi"/>
          <w:b/>
          <w:bCs/>
        </w:rPr>
      </w:pPr>
    </w:p>
    <w:p w:rsidR="0043159B" w:rsidP="0043159B" w:rsidRDefault="0043159B" w14:paraId="5042F917" w14:textId="18819CAD">
      <w:pPr>
        <w:pStyle w:val="ListParagraph"/>
        <w:ind w:left="0"/>
        <w:rPr>
          <w:rFonts w:cstheme="minorHAnsi"/>
          <w:b/>
          <w:bCs/>
        </w:rPr>
      </w:pPr>
    </w:p>
    <w:p w:rsidRPr="0043159B" w:rsidR="0043159B" w:rsidP="0043159B" w:rsidRDefault="0043159B" w14:paraId="5A613368" w14:textId="481957C8">
      <w:pPr>
        <w:pStyle w:val="ListParagraph"/>
        <w:numPr>
          <w:ilvl w:val="0"/>
          <w:numId w:val="5"/>
        </w:numPr>
        <w:ind w:left="0"/>
        <w:rPr>
          <w:rFonts w:cstheme="minorHAnsi"/>
          <w:b/>
          <w:bCs/>
        </w:rPr>
      </w:pPr>
      <w:r>
        <w:rPr>
          <w:rFonts w:cstheme="minorHAnsi"/>
          <w:b/>
          <w:bCs/>
        </w:rPr>
        <w:t>Abuse of Adults</w:t>
      </w:r>
    </w:p>
    <w:p w:rsidRPr="008763F5" w:rsidR="00E666F8" w:rsidP="0043159B" w:rsidRDefault="00E666F8" w14:paraId="3776E920" w14:textId="77777777">
      <w:pPr>
        <w:pStyle w:val="ListParagraph"/>
        <w:ind w:left="0"/>
        <w:rPr>
          <w:rFonts w:cstheme="minorHAnsi"/>
        </w:rPr>
      </w:pPr>
    </w:p>
    <w:p w:rsidRPr="008763F5" w:rsidR="008B017C" w:rsidP="0043159B" w:rsidRDefault="008B017C" w14:paraId="493D267F" w14:textId="5C9CC8D6">
      <w:pPr>
        <w:pStyle w:val="ListParagraph"/>
        <w:ind w:left="0"/>
        <w:rPr>
          <w:rFonts w:cstheme="minorHAnsi"/>
          <w:color w:val="303030"/>
        </w:rPr>
      </w:pPr>
      <w:r w:rsidRPr="008763F5">
        <w:rPr>
          <w:rFonts w:cstheme="minorHAnsi"/>
          <w:color w:val="303030"/>
        </w:rPr>
        <w:t>The </w:t>
      </w:r>
      <w:hyperlink w:tgtFrame="_blank" w:tooltip="Opens in a new window" w:history="1" r:id="rId27">
        <w:r w:rsidRPr="008763F5">
          <w:rPr>
            <w:rFonts w:cstheme="minorHAnsi"/>
            <w:b/>
            <w:bCs/>
            <w:color w:val="00539F"/>
            <w:u w:val="single"/>
            <w:bdr w:val="none" w:color="auto" w:sz="0" w:space="0" w:frame="1"/>
          </w:rPr>
          <w:t>Care and support statutory guidance</w:t>
        </w:r>
      </w:hyperlink>
      <w:r w:rsidRPr="008763F5">
        <w:rPr>
          <w:rFonts w:cstheme="minorHAnsi"/>
          <w:color w:val="303030"/>
        </w:rPr>
        <w:t> identifies ten types of abuse, these are:</w:t>
      </w:r>
    </w:p>
    <w:p w:rsidRPr="008763F5" w:rsidR="005B59C5" w:rsidP="0043159B" w:rsidRDefault="005B59C5" w14:paraId="23EA1F08" w14:textId="77777777">
      <w:pPr>
        <w:pStyle w:val="ListParagraph"/>
        <w:ind w:left="0"/>
        <w:rPr>
          <w:rFonts w:cstheme="minorHAnsi"/>
          <w:color w:val="303030"/>
        </w:rPr>
      </w:pPr>
    </w:p>
    <w:p w:rsidRPr="005B59C5" w:rsidR="005B59C5" w:rsidP="005B59C5" w:rsidRDefault="005B59C5" w14:paraId="6CEA7F44" w14:textId="77777777">
      <w:pPr>
        <w:numPr>
          <w:ilvl w:val="0"/>
          <w:numId w:val="9"/>
        </w:numPr>
        <w:spacing w:after="0" w:line="240" w:lineRule="auto"/>
        <w:rPr>
          <w:rFonts w:eastAsia="Times New Roman" w:cstheme="minorHAnsi"/>
          <w:color w:val="303030"/>
          <w:kern w:val="0"/>
          <w:lang w:eastAsia="en-GB"/>
          <w14:ligatures w14:val="none"/>
        </w:rPr>
      </w:pPr>
      <w:hyperlink w:history="1" w:anchor="physical" r:id="rId28">
        <w:r w:rsidRPr="005B59C5">
          <w:rPr>
            <w:rFonts w:eastAsia="Times New Roman" w:cstheme="minorHAnsi"/>
            <w:b/>
            <w:bCs/>
            <w:color w:val="00539F"/>
            <w:kern w:val="0"/>
            <w:u w:val="single"/>
            <w:bdr w:val="none" w:color="auto" w:sz="0" w:space="0" w:frame="1"/>
            <w:lang w:eastAsia="en-GB"/>
            <w14:ligatures w14:val="none"/>
          </w:rPr>
          <w:t>Physical</w:t>
        </w:r>
        <w:r w:rsidRPr="005B59C5">
          <w:rPr>
            <w:rFonts w:eastAsia="Times New Roman" w:cstheme="minorHAnsi"/>
            <w:b/>
            <w:bCs/>
            <w:color w:val="00539F"/>
            <w:kern w:val="0"/>
            <w:u w:val="single"/>
            <w:bdr w:val="none" w:color="auto" w:sz="0" w:space="0" w:frame="1"/>
            <w:lang w:eastAsia="en-GB"/>
            <w14:ligatures w14:val="none"/>
          </w:rPr>
          <w:t xml:space="preserve"> </w:t>
        </w:r>
        <w:r w:rsidRPr="005B59C5">
          <w:rPr>
            <w:rFonts w:eastAsia="Times New Roman" w:cstheme="minorHAnsi"/>
            <w:b/>
            <w:bCs/>
            <w:color w:val="00539F"/>
            <w:kern w:val="0"/>
            <w:u w:val="single"/>
            <w:bdr w:val="none" w:color="auto" w:sz="0" w:space="0" w:frame="1"/>
            <w:lang w:eastAsia="en-GB"/>
            <w14:ligatures w14:val="none"/>
          </w:rPr>
          <w:t>abuse</w:t>
        </w:r>
      </w:hyperlink>
    </w:p>
    <w:p w:rsidRPr="005B59C5" w:rsidR="005B59C5" w:rsidP="005B59C5" w:rsidRDefault="005B59C5" w14:paraId="7B214E22" w14:textId="77777777">
      <w:pPr>
        <w:numPr>
          <w:ilvl w:val="0"/>
          <w:numId w:val="9"/>
        </w:numPr>
        <w:spacing w:after="0" w:line="240" w:lineRule="auto"/>
        <w:rPr>
          <w:rFonts w:eastAsia="Times New Roman" w:cstheme="minorHAnsi"/>
          <w:color w:val="303030"/>
          <w:kern w:val="0"/>
          <w:lang w:eastAsia="en-GB"/>
          <w14:ligatures w14:val="none"/>
        </w:rPr>
      </w:pPr>
      <w:hyperlink w:history="1" w:anchor="domestic" r:id="rId29">
        <w:r w:rsidRPr="005B59C5">
          <w:rPr>
            <w:rFonts w:eastAsia="Times New Roman" w:cstheme="minorHAnsi"/>
            <w:b/>
            <w:bCs/>
            <w:color w:val="00539F"/>
            <w:kern w:val="0"/>
            <w:u w:val="single"/>
            <w:bdr w:val="none" w:color="auto" w:sz="0" w:space="0" w:frame="1"/>
            <w:lang w:eastAsia="en-GB"/>
            <w14:ligatures w14:val="none"/>
          </w:rPr>
          <w:t>Domestic violence or abuse</w:t>
        </w:r>
      </w:hyperlink>
    </w:p>
    <w:p w:rsidRPr="005B59C5" w:rsidR="005B59C5" w:rsidP="005B59C5" w:rsidRDefault="005B59C5" w14:paraId="47BF6710" w14:textId="77777777">
      <w:pPr>
        <w:numPr>
          <w:ilvl w:val="0"/>
          <w:numId w:val="9"/>
        </w:numPr>
        <w:spacing w:after="0" w:line="240" w:lineRule="auto"/>
        <w:rPr>
          <w:rFonts w:eastAsia="Times New Roman" w:cstheme="minorHAnsi"/>
          <w:color w:val="303030"/>
          <w:kern w:val="0"/>
          <w:lang w:eastAsia="en-GB"/>
          <w14:ligatures w14:val="none"/>
        </w:rPr>
      </w:pPr>
      <w:hyperlink w:history="1" w:anchor="sexual" r:id="rId30">
        <w:r w:rsidRPr="005B59C5">
          <w:rPr>
            <w:rFonts w:eastAsia="Times New Roman" w:cstheme="minorHAnsi"/>
            <w:b/>
            <w:bCs/>
            <w:color w:val="00539F"/>
            <w:kern w:val="0"/>
            <w:u w:val="single"/>
            <w:bdr w:val="none" w:color="auto" w:sz="0" w:space="0" w:frame="1"/>
            <w:lang w:eastAsia="en-GB"/>
            <w14:ligatures w14:val="none"/>
          </w:rPr>
          <w:t>Sexual abuse</w:t>
        </w:r>
      </w:hyperlink>
    </w:p>
    <w:p w:rsidRPr="005B59C5" w:rsidR="005B59C5" w:rsidP="005B59C5" w:rsidRDefault="005B59C5" w14:paraId="14E19C45" w14:textId="77777777">
      <w:pPr>
        <w:numPr>
          <w:ilvl w:val="0"/>
          <w:numId w:val="9"/>
        </w:numPr>
        <w:spacing w:after="0" w:line="240" w:lineRule="auto"/>
        <w:rPr>
          <w:rFonts w:eastAsia="Times New Roman" w:cstheme="minorHAnsi"/>
          <w:color w:val="303030"/>
          <w:kern w:val="0"/>
          <w:lang w:eastAsia="en-GB"/>
          <w14:ligatures w14:val="none"/>
        </w:rPr>
      </w:pPr>
      <w:hyperlink w:history="1" w:anchor="psychological" r:id="rId31">
        <w:r w:rsidRPr="005B59C5">
          <w:rPr>
            <w:rFonts w:eastAsia="Times New Roman" w:cstheme="minorHAnsi"/>
            <w:b/>
            <w:bCs/>
            <w:color w:val="00539F"/>
            <w:kern w:val="0"/>
            <w:u w:val="single"/>
            <w:bdr w:val="none" w:color="auto" w:sz="0" w:space="0" w:frame="1"/>
            <w:lang w:eastAsia="en-GB"/>
            <w14:ligatures w14:val="none"/>
          </w:rPr>
          <w:t>Psychological or emotional abuse</w:t>
        </w:r>
      </w:hyperlink>
    </w:p>
    <w:p w:rsidRPr="005B59C5" w:rsidR="005B59C5" w:rsidP="005B59C5" w:rsidRDefault="005B59C5" w14:paraId="2E34B32C" w14:textId="77777777">
      <w:pPr>
        <w:numPr>
          <w:ilvl w:val="0"/>
          <w:numId w:val="9"/>
        </w:numPr>
        <w:spacing w:after="0" w:line="240" w:lineRule="auto"/>
        <w:rPr>
          <w:rFonts w:eastAsia="Times New Roman" w:cstheme="minorHAnsi"/>
          <w:color w:val="303030"/>
          <w:kern w:val="0"/>
          <w:lang w:eastAsia="en-GB"/>
          <w14:ligatures w14:val="none"/>
        </w:rPr>
      </w:pPr>
      <w:hyperlink w:history="1" w:anchor="financial" r:id="rId32">
        <w:r w:rsidRPr="005B59C5">
          <w:rPr>
            <w:rFonts w:eastAsia="Times New Roman" w:cstheme="minorHAnsi"/>
            <w:b/>
            <w:bCs/>
            <w:color w:val="00539F"/>
            <w:kern w:val="0"/>
            <w:u w:val="single"/>
            <w:bdr w:val="none" w:color="auto" w:sz="0" w:space="0" w:frame="1"/>
            <w:lang w:eastAsia="en-GB"/>
            <w14:ligatures w14:val="none"/>
          </w:rPr>
          <w:t>Financial or material abuse</w:t>
        </w:r>
      </w:hyperlink>
    </w:p>
    <w:p w:rsidRPr="008763F5" w:rsidR="008763F5" w:rsidP="008763F5" w:rsidRDefault="008763F5" w14:paraId="4429CCEF" w14:textId="77777777">
      <w:pPr>
        <w:numPr>
          <w:ilvl w:val="0"/>
          <w:numId w:val="9"/>
        </w:numPr>
        <w:spacing w:after="0" w:line="240" w:lineRule="auto"/>
        <w:rPr>
          <w:rFonts w:cstheme="minorHAnsi"/>
          <w:color w:val="303030"/>
        </w:rPr>
      </w:pPr>
      <w:hyperlink w:history="1" w:anchor="modern-slavery" r:id="rId33">
        <w:r w:rsidRPr="008763F5">
          <w:rPr>
            <w:rStyle w:val="Hyperlink"/>
            <w:rFonts w:cstheme="minorHAnsi"/>
            <w:b/>
            <w:bCs/>
            <w:color w:val="00539F"/>
            <w:bdr w:val="none" w:color="auto" w:sz="0" w:space="0" w:frame="1"/>
          </w:rPr>
          <w:t>Modern slavery</w:t>
        </w:r>
      </w:hyperlink>
    </w:p>
    <w:p w:rsidRPr="008763F5" w:rsidR="008763F5" w:rsidP="008763F5" w:rsidRDefault="008763F5" w14:paraId="12A7B2BC" w14:textId="77777777">
      <w:pPr>
        <w:numPr>
          <w:ilvl w:val="0"/>
          <w:numId w:val="9"/>
        </w:numPr>
        <w:spacing w:after="0" w:line="240" w:lineRule="auto"/>
        <w:rPr>
          <w:rFonts w:cstheme="minorHAnsi"/>
          <w:color w:val="303030"/>
        </w:rPr>
      </w:pPr>
      <w:hyperlink w:history="1" w:anchor="discriminatory" r:id="rId34">
        <w:r w:rsidRPr="008763F5">
          <w:rPr>
            <w:rStyle w:val="Hyperlink"/>
            <w:rFonts w:cstheme="minorHAnsi"/>
            <w:b/>
            <w:bCs/>
            <w:color w:val="00539F"/>
            <w:bdr w:val="none" w:color="auto" w:sz="0" w:space="0" w:frame="1"/>
          </w:rPr>
          <w:t>Discriminatory abuse</w:t>
        </w:r>
      </w:hyperlink>
    </w:p>
    <w:p w:rsidRPr="008763F5" w:rsidR="008763F5" w:rsidP="008763F5" w:rsidRDefault="008763F5" w14:paraId="46809BD5" w14:textId="77777777">
      <w:pPr>
        <w:numPr>
          <w:ilvl w:val="0"/>
          <w:numId w:val="9"/>
        </w:numPr>
        <w:spacing w:after="0" w:line="240" w:lineRule="auto"/>
        <w:rPr>
          <w:rFonts w:cstheme="minorHAnsi"/>
          <w:color w:val="303030"/>
        </w:rPr>
      </w:pPr>
      <w:hyperlink w:history="1" w:anchor="organisational" r:id="rId35">
        <w:r w:rsidRPr="008763F5">
          <w:rPr>
            <w:rStyle w:val="Hyperlink"/>
            <w:rFonts w:cstheme="minorHAnsi"/>
            <w:b/>
            <w:bCs/>
            <w:color w:val="00539F"/>
            <w:bdr w:val="none" w:color="auto" w:sz="0" w:space="0" w:frame="1"/>
          </w:rPr>
          <w:t>Organisational or institutional abuse</w:t>
        </w:r>
      </w:hyperlink>
    </w:p>
    <w:p w:rsidRPr="008763F5" w:rsidR="008763F5" w:rsidP="008763F5" w:rsidRDefault="008763F5" w14:paraId="4EE7036F" w14:textId="77777777">
      <w:pPr>
        <w:numPr>
          <w:ilvl w:val="0"/>
          <w:numId w:val="9"/>
        </w:numPr>
        <w:spacing w:after="0" w:line="240" w:lineRule="auto"/>
        <w:rPr>
          <w:rFonts w:cstheme="minorHAnsi"/>
          <w:color w:val="303030"/>
        </w:rPr>
      </w:pPr>
      <w:hyperlink w:history="1" w:anchor="neglect" r:id="rId36">
        <w:r w:rsidRPr="008763F5">
          <w:rPr>
            <w:rStyle w:val="Hyperlink"/>
            <w:rFonts w:cstheme="minorHAnsi"/>
            <w:b/>
            <w:bCs/>
            <w:color w:val="00539F"/>
            <w:bdr w:val="none" w:color="auto" w:sz="0" w:space="0" w:frame="1"/>
          </w:rPr>
          <w:t>Neglect or acts of omission</w:t>
        </w:r>
      </w:hyperlink>
    </w:p>
    <w:p w:rsidRPr="008763F5" w:rsidR="008763F5" w:rsidP="008763F5" w:rsidRDefault="008763F5" w14:paraId="0F7B96FD" w14:textId="77777777">
      <w:pPr>
        <w:numPr>
          <w:ilvl w:val="0"/>
          <w:numId w:val="9"/>
        </w:numPr>
        <w:spacing w:after="0" w:line="240" w:lineRule="auto"/>
        <w:rPr>
          <w:rFonts w:cstheme="minorHAnsi"/>
          <w:color w:val="303030"/>
        </w:rPr>
      </w:pPr>
      <w:hyperlink w:history="1" w:anchor="self-neglect" r:id="rId37">
        <w:r w:rsidRPr="008763F5">
          <w:rPr>
            <w:rStyle w:val="Hyperlink"/>
            <w:rFonts w:cstheme="minorHAnsi"/>
            <w:b/>
            <w:bCs/>
            <w:color w:val="00539F"/>
            <w:bdr w:val="none" w:color="auto" w:sz="0" w:space="0" w:frame="1"/>
          </w:rPr>
          <w:t>Self-neglect</w:t>
        </w:r>
      </w:hyperlink>
    </w:p>
    <w:p w:rsidRPr="0043159B" w:rsidR="00EF0547" w:rsidP="0043159B" w:rsidRDefault="00EF0547" w14:paraId="051DD717" w14:textId="77777777">
      <w:pPr>
        <w:rPr>
          <w:rFonts w:cstheme="minorHAnsi"/>
        </w:rPr>
      </w:pPr>
    </w:p>
    <w:p w:rsidRPr="0043159B" w:rsidR="00EF0547" w:rsidP="0043159B" w:rsidRDefault="00EF0547" w14:paraId="1A7497FD" w14:textId="4B06B535">
      <w:pPr>
        <w:pStyle w:val="ListParagraph"/>
        <w:numPr>
          <w:ilvl w:val="0"/>
          <w:numId w:val="5"/>
        </w:numPr>
        <w:ind w:left="0"/>
        <w:rPr>
          <w:rFonts w:cstheme="minorHAnsi"/>
          <w:b/>
          <w:bCs/>
        </w:rPr>
      </w:pPr>
      <w:r w:rsidRPr="0043159B">
        <w:rPr>
          <w:rFonts w:cstheme="minorHAnsi"/>
          <w:b/>
          <w:bCs/>
        </w:rPr>
        <w:t xml:space="preserve">Principles </w:t>
      </w:r>
    </w:p>
    <w:p w:rsidRPr="0043159B" w:rsidR="00EF0547" w:rsidP="0043159B" w:rsidRDefault="00EF0547" w14:paraId="190C0440" w14:textId="77777777">
      <w:pPr>
        <w:rPr>
          <w:rFonts w:cstheme="minorHAnsi"/>
        </w:rPr>
      </w:pPr>
      <w:r w:rsidRPr="0043159B">
        <w:rPr>
          <w:rFonts w:cstheme="minorHAnsi"/>
        </w:rPr>
        <w:t xml:space="preserve">This policy is based on the following principles: </w:t>
      </w:r>
    </w:p>
    <w:p w:rsidRPr="0043159B" w:rsidR="00EF0547" w:rsidP="0043159B" w:rsidRDefault="00EF0547" w14:paraId="4658DA7A" w14:textId="77777777">
      <w:pPr>
        <w:rPr>
          <w:rFonts w:cstheme="minorHAnsi"/>
        </w:rPr>
      </w:pPr>
      <w:r w:rsidRPr="0043159B">
        <w:rPr>
          <w:rFonts w:cstheme="minorHAnsi"/>
        </w:rPr>
        <w:t>• All adults, regardless of age, ability or disability, gender, race, religion, ethnic origin, sexual orientation, marital or gender status and pregnancy and maternity have the right to be protected from abuse and poor practice and to participate in an enjoyable and safe environment.</w:t>
      </w:r>
    </w:p>
    <w:p w:rsidRPr="0043159B" w:rsidR="00EF0547" w:rsidP="0043159B" w:rsidRDefault="00EF0547" w14:paraId="0F07E6BF" w14:textId="2B290347">
      <w:pPr>
        <w:rPr>
          <w:rFonts w:cstheme="minorHAnsi"/>
        </w:rPr>
      </w:pPr>
      <w:r w:rsidRPr="0043159B">
        <w:rPr>
          <w:rFonts w:cstheme="minorHAnsi"/>
        </w:rPr>
        <w:t>• There is zero tolerance to the abuse of adults.</w:t>
      </w:r>
    </w:p>
    <w:p w:rsidRPr="0043159B" w:rsidR="00EF0547" w:rsidP="0043159B" w:rsidRDefault="00EF0547" w14:paraId="56A0987E" w14:textId="77777777">
      <w:pPr>
        <w:rPr>
          <w:rFonts w:cstheme="minorHAnsi"/>
        </w:rPr>
      </w:pPr>
      <w:r w:rsidRPr="0043159B">
        <w:rPr>
          <w:rFonts w:cstheme="minorHAnsi"/>
        </w:rPr>
        <w:t xml:space="preserve"> • The rights, dignity and worth of all adults will always be respected. 1 The Care Act 2014 (England) and the Social Services and Wellbeing Act 2014 (Wales). Updated June 2022 </w:t>
      </w:r>
    </w:p>
    <w:p w:rsidRPr="0043159B" w:rsidR="00EF0547" w:rsidP="0043159B" w:rsidRDefault="00EF0547" w14:paraId="282F9A89" w14:textId="77777777">
      <w:pPr>
        <w:rPr>
          <w:rFonts w:cstheme="minorHAnsi"/>
        </w:rPr>
      </w:pPr>
      <w:r w:rsidRPr="0043159B">
        <w:rPr>
          <w:rFonts w:cstheme="minorHAnsi"/>
        </w:rPr>
        <w:t>• We recognise that ability and disability can change over time, such that some adults may be additionally vulnerable to abuse, in particular those adults with care and support needs.</w:t>
      </w:r>
    </w:p>
    <w:p w:rsidRPr="0043159B" w:rsidR="00EF0547" w:rsidP="0043159B" w:rsidRDefault="00EF0547" w14:paraId="00F62DC8" w14:textId="77777777">
      <w:pPr>
        <w:rPr>
          <w:rFonts w:cstheme="minorHAnsi"/>
        </w:rPr>
      </w:pPr>
      <w:r w:rsidRPr="0043159B">
        <w:rPr>
          <w:rFonts w:cstheme="minorHAnsi"/>
        </w:rPr>
        <w:t xml:space="preserve"> • Safeguarding adults is everyone’s business and responsibility. </w:t>
      </w:r>
    </w:p>
    <w:p w:rsidRPr="0043159B" w:rsidR="00EF0547" w:rsidP="0043159B" w:rsidRDefault="00EF0547" w14:paraId="62633D9C" w14:textId="18E960D2">
      <w:pPr>
        <w:rPr>
          <w:rFonts w:cstheme="minorHAnsi"/>
        </w:rPr>
      </w:pPr>
      <w:r w:rsidRPr="0043159B">
        <w:rPr>
          <w:rFonts w:cstheme="minorHAnsi"/>
        </w:rPr>
        <w:t xml:space="preserve">• All allegations will be taken seriously and responded to quickly in line with the </w:t>
      </w:r>
      <w:r w:rsidRPr="0043159B" w:rsidR="00C03FD8">
        <w:rPr>
          <w:rFonts w:cstheme="minorHAnsi"/>
        </w:rPr>
        <w:t>Lord’s Taverners</w:t>
      </w:r>
      <w:r w:rsidRPr="0043159B">
        <w:rPr>
          <w:rFonts w:cstheme="minorHAnsi"/>
        </w:rPr>
        <w:t xml:space="preserve"> Safeguarding Procedures. </w:t>
      </w:r>
    </w:p>
    <w:p w:rsidRPr="0043159B" w:rsidR="00EF0547" w:rsidP="0043159B" w:rsidRDefault="00EF0547" w14:paraId="266533B3" w14:textId="0516063C">
      <w:pPr>
        <w:ind w:left="-113"/>
        <w:rPr>
          <w:rFonts w:cstheme="minorHAnsi"/>
        </w:rPr>
      </w:pPr>
      <w:r w:rsidRPr="0043159B">
        <w:rPr>
          <w:rFonts w:cstheme="minorHAnsi"/>
        </w:rPr>
        <w:t xml:space="preserve">• </w:t>
      </w:r>
      <w:r w:rsidRPr="0043159B" w:rsidR="00DC276B">
        <w:rPr>
          <w:rFonts w:cstheme="minorHAnsi"/>
        </w:rPr>
        <w:t xml:space="preserve">Lord’s Taverners </w:t>
      </w:r>
      <w:r w:rsidRPr="0043159B">
        <w:rPr>
          <w:rFonts w:cstheme="minorHAnsi"/>
        </w:rPr>
        <w:t xml:space="preserve">recognises the role and responsibilities of the statutory agencies in Safeguarding Adults and is committed to complying with the procedures of Local and Regional Safeguarding Adults Boards </w:t>
      </w:r>
      <w:r w:rsidRPr="0043159B" w:rsidR="00DC276B">
        <w:rPr>
          <w:rFonts w:cstheme="minorHAnsi"/>
        </w:rPr>
        <w:br/>
      </w:r>
      <w:r w:rsidRPr="0043159B" w:rsidR="00DC276B">
        <w:rPr>
          <w:rFonts w:cstheme="minorHAnsi"/>
        </w:rPr>
        <w:br/>
      </w:r>
      <w:r w:rsidR="0043159B">
        <w:rPr>
          <w:rFonts w:cstheme="minorHAnsi"/>
          <w:b/>
          <w:bCs/>
        </w:rPr>
        <w:t>7</w:t>
      </w:r>
      <w:r w:rsidRPr="0043159B" w:rsidR="00AC3C4D">
        <w:rPr>
          <w:rFonts w:cstheme="minorHAnsi"/>
          <w:b/>
          <w:bCs/>
        </w:rPr>
        <w:t>.</w:t>
      </w:r>
      <w:r w:rsidRPr="0043159B" w:rsidR="00473ED6">
        <w:rPr>
          <w:rFonts w:cstheme="minorHAnsi"/>
          <w:b/>
          <w:bCs/>
        </w:rPr>
        <w:t xml:space="preserve">  </w:t>
      </w:r>
      <w:r w:rsidRPr="0043159B" w:rsidR="00DC276B">
        <w:rPr>
          <w:rFonts w:cstheme="minorHAnsi"/>
          <w:b/>
          <w:bCs/>
        </w:rPr>
        <w:t>Making Safeguarding Personal</w:t>
      </w:r>
      <w:r w:rsidRPr="0043159B" w:rsidR="00DC276B">
        <w:rPr>
          <w:rFonts w:cstheme="minorHAnsi"/>
        </w:rPr>
        <w:t xml:space="preserve"> </w:t>
      </w:r>
    </w:p>
    <w:p w:rsidRPr="0043159B" w:rsidR="0013720B" w:rsidP="0043159B" w:rsidRDefault="00EF0547" w14:paraId="43B1339A" w14:textId="77777777">
      <w:pPr>
        <w:rPr>
          <w:rFonts w:cstheme="minorHAnsi"/>
        </w:rPr>
      </w:pPr>
      <w:r w:rsidRPr="0043159B">
        <w:rPr>
          <w:rFonts w:cstheme="minorHAnsi"/>
        </w:rPr>
        <w:t xml:space="preserve">Making Safeguarding Personal means that adult safeguarding should be person led and outcome focussed. It engages the person in a conversation about how best to respond to their safeguarding situation in a way that enhances involvement, choice, and control. As well as improving quality of life, well-being, and safety. </w:t>
      </w:r>
    </w:p>
    <w:p w:rsidRPr="0043159B" w:rsidR="00EF0547" w:rsidP="0043159B" w:rsidRDefault="00EF0547" w14:paraId="67E86B05" w14:textId="6DBE96EF">
      <w:pPr>
        <w:rPr>
          <w:rFonts w:cstheme="minorHAnsi"/>
        </w:rPr>
      </w:pPr>
      <w:r w:rsidRPr="0043159B">
        <w:rPr>
          <w:rFonts w:cstheme="minorHAnsi"/>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 There may be circumstances where you need to share information with other</w:t>
      </w:r>
      <w:r w:rsidRPr="0043159B" w:rsidR="00F60D53">
        <w:rPr>
          <w:rFonts w:cstheme="minorHAnsi"/>
        </w:rPr>
        <w:t>s and or</w:t>
      </w:r>
      <w:r w:rsidRPr="0043159B">
        <w:rPr>
          <w:rFonts w:cstheme="minorHAnsi"/>
        </w:rPr>
        <w:t xml:space="preserve"> agencies to protect an individual.</w:t>
      </w:r>
    </w:p>
    <w:p w:rsidRPr="0043159B" w:rsidR="00DC276B" w:rsidP="0043159B" w:rsidRDefault="00DC276B" w14:paraId="234A589A" w14:textId="77777777">
      <w:pPr>
        <w:rPr>
          <w:rFonts w:cstheme="minorHAnsi"/>
        </w:rPr>
      </w:pPr>
    </w:p>
    <w:p w:rsidRPr="0043159B" w:rsidR="00DC276B" w:rsidP="0043159B" w:rsidRDefault="00DC276B" w14:paraId="0AF9D600" w14:textId="4377C87B">
      <w:pPr>
        <w:pStyle w:val="ListParagraph"/>
        <w:numPr>
          <w:ilvl w:val="0"/>
          <w:numId w:val="7"/>
        </w:numPr>
        <w:rPr>
          <w:rFonts w:cstheme="minorHAnsi"/>
          <w:b/>
          <w:bCs/>
        </w:rPr>
      </w:pPr>
      <w:r w:rsidRPr="0043159B">
        <w:rPr>
          <w:rFonts w:cstheme="minorHAnsi"/>
          <w:b/>
          <w:bCs/>
        </w:rPr>
        <w:t>Confidentiality</w:t>
      </w:r>
    </w:p>
    <w:p w:rsidRPr="0043159B" w:rsidR="00EF0547" w:rsidP="0043159B" w:rsidRDefault="00EF0547" w14:paraId="3464C8CC" w14:textId="55BF6004">
      <w:pPr>
        <w:rPr>
          <w:rFonts w:cstheme="minorHAnsi"/>
        </w:rPr>
      </w:pPr>
      <w:r w:rsidRPr="0043159B">
        <w:rPr>
          <w:rFonts w:cstheme="minorHAnsi"/>
        </w:rPr>
        <w:t>It is important that</w:t>
      </w:r>
      <w:r w:rsidRPr="0043159B" w:rsidR="00896C0F">
        <w:rPr>
          <w:rFonts w:cstheme="minorHAnsi"/>
        </w:rPr>
        <w:t xml:space="preserve"> any</w:t>
      </w:r>
      <w:r w:rsidRPr="0043159B">
        <w:rPr>
          <w:rFonts w:cstheme="minorHAnsi"/>
        </w:rPr>
        <w:t xml:space="preserve"> information is treated as confidential as far as is reasonably possible to build trust and respect. If you think that sharing information with another person such as the Safeguarding </w:t>
      </w:r>
      <w:r w:rsidRPr="0043159B" w:rsidR="00DC276B">
        <w:rPr>
          <w:rFonts w:cstheme="minorHAnsi"/>
        </w:rPr>
        <w:t xml:space="preserve">Team or </w:t>
      </w:r>
      <w:r w:rsidRPr="0043159B">
        <w:rPr>
          <w:rFonts w:cstheme="minorHAnsi"/>
        </w:rPr>
        <w:t>Manager could help the person, encourage the person to disclose information themselves with the people who need to know. If they do not wish to do this, explain to the individual that you will need to inform others such as the Safeguarding Officer and the reasons why, and seek their clear and specific consent to this.</w:t>
      </w:r>
    </w:p>
    <w:p w:rsidRPr="0043159B" w:rsidR="009322D4" w:rsidP="0043159B" w:rsidRDefault="009322D4" w14:paraId="33D386AD" w14:textId="77777777">
      <w:pPr>
        <w:rPr>
          <w:rFonts w:cstheme="minorHAnsi"/>
        </w:rPr>
      </w:pPr>
    </w:p>
    <w:p w:rsidRPr="0043159B" w:rsidR="009322D4" w:rsidP="0043159B" w:rsidRDefault="009322D4" w14:paraId="022E7CDE" w14:textId="10380BE4">
      <w:pPr>
        <w:pStyle w:val="ListParagraph"/>
        <w:numPr>
          <w:ilvl w:val="0"/>
          <w:numId w:val="7"/>
        </w:numPr>
        <w:spacing w:before="100" w:beforeAutospacing="1" w:after="0" w:line="240" w:lineRule="auto"/>
        <w:outlineLvl w:val="3"/>
        <w:rPr>
          <w:rFonts w:eastAsia="Times New Roman" w:cstheme="minorHAnsi"/>
          <w:b/>
          <w:bCs/>
          <w:color w:val="373A36"/>
          <w:kern w:val="0"/>
          <w:lang w:eastAsia="en-GB"/>
          <w14:ligatures w14:val="none"/>
        </w:rPr>
      </w:pPr>
      <w:r w:rsidRPr="0043159B">
        <w:rPr>
          <w:rFonts w:eastAsia="Times New Roman" w:cstheme="minorHAnsi"/>
          <w:b/>
          <w:bCs/>
          <w:color w:val="373A36"/>
          <w:kern w:val="0"/>
          <w:lang w:eastAsia="en-GB"/>
          <w14:ligatures w14:val="none"/>
        </w:rPr>
        <w:t>Responsibilities</w:t>
      </w:r>
    </w:p>
    <w:p w:rsidRPr="0043159B" w:rsidR="009322D4" w:rsidP="0043159B" w:rsidRDefault="009322D4" w14:paraId="4C79132F" w14:textId="076CE2D6">
      <w:pPr>
        <w:spacing w:before="100" w:beforeAutospacing="1" w:after="0" w:line="240" w:lineRule="auto"/>
        <w:rPr>
          <w:rFonts w:eastAsia="Times New Roman" w:cstheme="minorHAnsi"/>
          <w:color w:val="373A36"/>
          <w:kern w:val="0"/>
          <w:lang w:eastAsia="en-GB"/>
          <w14:ligatures w14:val="none"/>
        </w:rPr>
      </w:pPr>
      <w:r w:rsidRPr="0043159B">
        <w:rPr>
          <w:rFonts w:eastAsia="Times New Roman" w:cstheme="minorHAnsi"/>
          <w:color w:val="373A36"/>
          <w:kern w:val="0"/>
          <w:lang w:eastAsia="en-GB"/>
          <w14:ligatures w14:val="none"/>
        </w:rPr>
        <w:t xml:space="preserve">Every member of staff or volunteer is responsible for familiarising themselves with the content of this policy and the associated safeguarding policies and procedures. Safeguarding is everyone’s </w:t>
      </w:r>
      <w:r w:rsidRPr="0043159B" w:rsidR="0077482D">
        <w:rPr>
          <w:rFonts w:eastAsia="Times New Roman" w:cstheme="minorHAnsi"/>
          <w:color w:val="373A36"/>
          <w:kern w:val="0"/>
          <w:lang w:eastAsia="en-GB"/>
          <w14:ligatures w14:val="none"/>
        </w:rPr>
        <w:t>responsibility,</w:t>
      </w:r>
      <w:r w:rsidRPr="0043159B">
        <w:rPr>
          <w:rFonts w:eastAsia="Times New Roman" w:cstheme="minorHAnsi"/>
          <w:color w:val="373A36"/>
          <w:kern w:val="0"/>
          <w:lang w:eastAsia="en-GB"/>
          <w14:ligatures w14:val="none"/>
        </w:rPr>
        <w:t xml:space="preserve"> and it is down to the individual to raise concerns appropriately and in line with the Safeguarding procedure.</w:t>
      </w:r>
    </w:p>
    <w:p w:rsidRPr="0043159B" w:rsidR="009322D4" w:rsidP="0043159B" w:rsidRDefault="009322D4" w14:paraId="5BE1D74E" w14:textId="77777777">
      <w:pPr>
        <w:spacing w:before="100" w:beforeAutospacing="1" w:after="0" w:line="240" w:lineRule="auto"/>
        <w:rPr>
          <w:rFonts w:eastAsia="Times New Roman" w:cstheme="minorHAnsi"/>
          <w:color w:val="373A36"/>
          <w:kern w:val="0"/>
          <w:lang w:eastAsia="en-GB"/>
          <w14:ligatures w14:val="none"/>
        </w:rPr>
      </w:pPr>
      <w:r w:rsidRPr="0043159B">
        <w:rPr>
          <w:rFonts w:eastAsia="Times New Roman" w:cstheme="minorHAnsi"/>
          <w:color w:val="373A36"/>
          <w:kern w:val="0"/>
          <w:lang w:eastAsia="en-GB"/>
          <w14:ligatures w14:val="none"/>
        </w:rPr>
        <w:t>The Safeguarding Team are responsible for reviewing and deciding on the best course of action for all safeguarding enquiries which are received from staff across the charity. The safeguarding team is of varying backgrounds and levels within the organisation, but all receive regular Safeguarding training.</w:t>
      </w:r>
    </w:p>
    <w:p w:rsidRPr="0043159B" w:rsidR="009322D4" w:rsidP="0043159B" w:rsidRDefault="009322D4" w14:paraId="020DA507" w14:textId="77777777">
      <w:pPr>
        <w:spacing w:before="100" w:beforeAutospacing="1" w:after="0" w:line="240" w:lineRule="auto"/>
        <w:rPr>
          <w:rFonts w:eastAsia="Times New Roman" w:cstheme="minorHAnsi"/>
          <w:color w:val="373A36"/>
          <w:kern w:val="0"/>
          <w:lang w:eastAsia="en-GB"/>
          <w14:ligatures w14:val="none"/>
        </w:rPr>
      </w:pPr>
      <w:r w:rsidRPr="0043159B">
        <w:rPr>
          <w:rFonts w:eastAsia="Times New Roman" w:cstheme="minorHAnsi"/>
          <w:color w:val="373A36"/>
          <w:kern w:val="0"/>
          <w:lang w:eastAsia="en-GB"/>
          <w14:ligatures w14:val="none"/>
        </w:rPr>
        <w:t>The safeguarding team, in consultation with the board of Trustees, will be responsible for regularly updating this policy and ensuring that all employees of the charity are familiar with its contents.</w:t>
      </w:r>
    </w:p>
    <w:p w:rsidRPr="0043159B" w:rsidR="009322D4" w:rsidP="0043159B" w:rsidRDefault="009322D4" w14:paraId="0BFCF422" w14:textId="77777777">
      <w:pPr>
        <w:rPr>
          <w:rFonts w:cstheme="minorHAnsi"/>
        </w:rPr>
      </w:pPr>
    </w:p>
    <w:p w:rsidRPr="0043159B" w:rsidR="005048D6" w:rsidP="0043159B" w:rsidRDefault="005048D6" w14:paraId="4D1AF72C" w14:textId="77777777">
      <w:pPr>
        <w:rPr>
          <w:rFonts w:cstheme="minorHAnsi"/>
        </w:rPr>
      </w:pPr>
    </w:p>
    <w:p w:rsidRPr="0043159B" w:rsidR="005048D6" w:rsidP="0043159B" w:rsidRDefault="005048D6" w14:paraId="2851C0EE" w14:textId="77777777">
      <w:pPr>
        <w:spacing w:before="100" w:beforeAutospacing="1" w:after="0" w:line="240" w:lineRule="auto"/>
        <w:rPr>
          <w:rFonts w:eastAsia="Times New Roman" w:cstheme="minorHAnsi"/>
          <w:color w:val="373A36"/>
          <w:kern w:val="0"/>
          <w:lang w:eastAsia="en-GB"/>
          <w14:ligatures w14:val="none"/>
        </w:rPr>
      </w:pPr>
      <w:r w:rsidRPr="0043159B">
        <w:rPr>
          <w:rFonts w:eastAsia="Times New Roman" w:cstheme="minorHAnsi"/>
          <w:color w:val="373A36"/>
          <w:kern w:val="0"/>
          <w:lang w:eastAsia="en-GB"/>
          <w14:ligatures w14:val="none"/>
        </w:rPr>
        <w:t>To contact the Safeguarding Team please contact Safeguarding@lordstaverners.org.</w:t>
      </w:r>
    </w:p>
    <w:p w:rsidRPr="0043159B" w:rsidR="005048D6" w:rsidRDefault="005048D6" w14:paraId="0DC060E4" w14:textId="77777777">
      <w:pPr>
        <w:rPr>
          <w:rFonts w:cstheme="minorHAnsi"/>
        </w:rPr>
      </w:pPr>
    </w:p>
    <w:sectPr w:rsidRPr="0043159B" w:rsidR="005048D6">
      <w:headerReference w:type="default" r:id="rId38"/>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DAC" w:rsidP="00DC276B" w:rsidRDefault="00F44DAC" w14:paraId="51127D98" w14:textId="77777777">
      <w:pPr>
        <w:spacing w:after="0" w:line="240" w:lineRule="auto"/>
      </w:pPr>
      <w:r>
        <w:separator/>
      </w:r>
    </w:p>
  </w:endnote>
  <w:endnote w:type="continuationSeparator" w:id="0">
    <w:p w:rsidR="00F44DAC" w:rsidP="00DC276B" w:rsidRDefault="00F44DAC" w14:paraId="513AF88D" w14:textId="77777777">
      <w:pPr>
        <w:spacing w:after="0" w:line="240" w:lineRule="auto"/>
      </w:pPr>
      <w:r>
        <w:continuationSeparator/>
      </w:r>
    </w:p>
  </w:endnote>
  <w:endnote w:type="continuationNotice" w:id="1">
    <w:p w:rsidR="00F44DAC" w:rsidRDefault="00F44DAC" w14:paraId="5CEDFD6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DAC" w:rsidP="00DC276B" w:rsidRDefault="00F44DAC" w14:paraId="1141A932" w14:textId="77777777">
      <w:pPr>
        <w:spacing w:after="0" w:line="240" w:lineRule="auto"/>
      </w:pPr>
      <w:r>
        <w:separator/>
      </w:r>
    </w:p>
  </w:footnote>
  <w:footnote w:type="continuationSeparator" w:id="0">
    <w:p w:rsidR="00F44DAC" w:rsidP="00DC276B" w:rsidRDefault="00F44DAC" w14:paraId="0EB4DC03" w14:textId="77777777">
      <w:pPr>
        <w:spacing w:after="0" w:line="240" w:lineRule="auto"/>
      </w:pPr>
      <w:r>
        <w:continuationSeparator/>
      </w:r>
    </w:p>
  </w:footnote>
  <w:footnote w:type="continuationNotice" w:id="1">
    <w:p w:rsidR="00F44DAC" w:rsidRDefault="00F44DAC" w14:paraId="18D1D82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C276B" w:rsidR="00DC276B" w:rsidP="00DC276B" w:rsidRDefault="00DC276B" w14:paraId="113D7B2E" w14:textId="1A99E9FE">
    <w:pPr>
      <w:pStyle w:val="Header"/>
      <w:jc w:val="center"/>
    </w:pPr>
    <w:r>
      <w:rPr>
        <w:noProof/>
      </w:rPr>
      <w:drawing>
        <wp:inline distT="0" distB="0" distL="0" distR="0" wp14:anchorId="1DB27AE2" wp14:editId="277F2F78">
          <wp:extent cx="1844984" cy="673115"/>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822" cy="6825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685"/>
    <w:multiLevelType w:val="hybridMultilevel"/>
    <w:tmpl w:val="BD18EE26"/>
    <w:lvl w:ilvl="0" w:tplc="6AEE996E">
      <w:start w:val="1"/>
      <w:numFmt w:val="decimal"/>
      <w:lvlText w:val="%1."/>
      <w:lvlJc w:val="left"/>
      <w:pPr>
        <w:ind w:left="607" w:hanging="360"/>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1" w15:restartNumberingAfterBreak="0">
    <w:nsid w:val="1A7A7BEA"/>
    <w:multiLevelType w:val="hybridMultilevel"/>
    <w:tmpl w:val="6E1E1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175FB"/>
    <w:multiLevelType w:val="hybridMultilevel"/>
    <w:tmpl w:val="467A31B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35B82"/>
    <w:multiLevelType w:val="hybridMultilevel"/>
    <w:tmpl w:val="23607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70621"/>
    <w:multiLevelType w:val="hybridMultilevel"/>
    <w:tmpl w:val="99166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67D90"/>
    <w:multiLevelType w:val="multilevel"/>
    <w:tmpl w:val="A6C66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08B5440"/>
    <w:multiLevelType w:val="hybridMultilevel"/>
    <w:tmpl w:val="B526E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9770D1"/>
    <w:multiLevelType w:val="hybridMultilevel"/>
    <w:tmpl w:val="EAEC0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F475E5"/>
    <w:multiLevelType w:val="hybridMultilevel"/>
    <w:tmpl w:val="047C8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C22DF"/>
    <w:multiLevelType w:val="multilevel"/>
    <w:tmpl w:val="DAAEF6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81612863">
    <w:abstractNumId w:val="8"/>
  </w:num>
  <w:num w:numId="2" w16cid:durableId="407385095">
    <w:abstractNumId w:val="1"/>
  </w:num>
  <w:num w:numId="3" w16cid:durableId="2058971915">
    <w:abstractNumId w:val="4"/>
  </w:num>
  <w:num w:numId="4" w16cid:durableId="1636721377">
    <w:abstractNumId w:val="3"/>
  </w:num>
  <w:num w:numId="5" w16cid:durableId="2080976531">
    <w:abstractNumId w:val="7"/>
  </w:num>
  <w:num w:numId="6" w16cid:durableId="1330598614">
    <w:abstractNumId w:val="0"/>
  </w:num>
  <w:num w:numId="7" w16cid:durableId="1148671736">
    <w:abstractNumId w:val="2"/>
  </w:num>
  <w:num w:numId="8" w16cid:durableId="1267614285">
    <w:abstractNumId w:val="6"/>
  </w:num>
  <w:num w:numId="9" w16cid:durableId="1031415812">
    <w:abstractNumId w:val="9"/>
  </w:num>
  <w:num w:numId="10" w16cid:durableId="729965446">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visionView w:markup="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47"/>
    <w:rsid w:val="0000430A"/>
    <w:rsid w:val="00004B43"/>
    <w:rsid w:val="000160C8"/>
    <w:rsid w:val="0002676E"/>
    <w:rsid w:val="000B22F4"/>
    <w:rsid w:val="000E2D04"/>
    <w:rsid w:val="001104C1"/>
    <w:rsid w:val="0013720B"/>
    <w:rsid w:val="001B1581"/>
    <w:rsid w:val="001B3428"/>
    <w:rsid w:val="001E0170"/>
    <w:rsid w:val="001F58A7"/>
    <w:rsid w:val="00204628"/>
    <w:rsid w:val="00212865"/>
    <w:rsid w:val="002142FE"/>
    <w:rsid w:val="002464E4"/>
    <w:rsid w:val="0026793D"/>
    <w:rsid w:val="00294CE4"/>
    <w:rsid w:val="002A1A44"/>
    <w:rsid w:val="002E24D8"/>
    <w:rsid w:val="002E65A9"/>
    <w:rsid w:val="002F7A72"/>
    <w:rsid w:val="0030030E"/>
    <w:rsid w:val="00320D17"/>
    <w:rsid w:val="00334914"/>
    <w:rsid w:val="00381A5A"/>
    <w:rsid w:val="0038552D"/>
    <w:rsid w:val="003856B0"/>
    <w:rsid w:val="003904FB"/>
    <w:rsid w:val="003E2AA6"/>
    <w:rsid w:val="00411D98"/>
    <w:rsid w:val="0043159B"/>
    <w:rsid w:val="0044739C"/>
    <w:rsid w:val="00472CBE"/>
    <w:rsid w:val="00473ED6"/>
    <w:rsid w:val="004B4B53"/>
    <w:rsid w:val="004B6A49"/>
    <w:rsid w:val="004E1FBF"/>
    <w:rsid w:val="004E3A23"/>
    <w:rsid w:val="005048D6"/>
    <w:rsid w:val="00554F5E"/>
    <w:rsid w:val="00576F8C"/>
    <w:rsid w:val="00584BB4"/>
    <w:rsid w:val="00593DFE"/>
    <w:rsid w:val="005B59C5"/>
    <w:rsid w:val="005B5AC4"/>
    <w:rsid w:val="00602EEF"/>
    <w:rsid w:val="00605F13"/>
    <w:rsid w:val="00624731"/>
    <w:rsid w:val="006702E7"/>
    <w:rsid w:val="00674FB7"/>
    <w:rsid w:val="006C750C"/>
    <w:rsid w:val="006D7CF1"/>
    <w:rsid w:val="00700101"/>
    <w:rsid w:val="007015A9"/>
    <w:rsid w:val="00704591"/>
    <w:rsid w:val="00771184"/>
    <w:rsid w:val="0077482D"/>
    <w:rsid w:val="00784C13"/>
    <w:rsid w:val="00790D33"/>
    <w:rsid w:val="007A551D"/>
    <w:rsid w:val="007B0CA0"/>
    <w:rsid w:val="007D46E6"/>
    <w:rsid w:val="007F7863"/>
    <w:rsid w:val="008073E0"/>
    <w:rsid w:val="008370B7"/>
    <w:rsid w:val="00852B3B"/>
    <w:rsid w:val="008763F5"/>
    <w:rsid w:val="00895A0C"/>
    <w:rsid w:val="00896C0F"/>
    <w:rsid w:val="008B017C"/>
    <w:rsid w:val="008E5895"/>
    <w:rsid w:val="008F2FBE"/>
    <w:rsid w:val="009024D6"/>
    <w:rsid w:val="009322D4"/>
    <w:rsid w:val="00936267"/>
    <w:rsid w:val="00967C96"/>
    <w:rsid w:val="00986D71"/>
    <w:rsid w:val="009D6749"/>
    <w:rsid w:val="00A41E3F"/>
    <w:rsid w:val="00A42F78"/>
    <w:rsid w:val="00A55296"/>
    <w:rsid w:val="00A803BB"/>
    <w:rsid w:val="00AC3C4D"/>
    <w:rsid w:val="00AC550A"/>
    <w:rsid w:val="00AC5732"/>
    <w:rsid w:val="00AE451C"/>
    <w:rsid w:val="00AE587B"/>
    <w:rsid w:val="00B07F39"/>
    <w:rsid w:val="00B12957"/>
    <w:rsid w:val="00B173E0"/>
    <w:rsid w:val="00B9213C"/>
    <w:rsid w:val="00B93592"/>
    <w:rsid w:val="00BA1AEE"/>
    <w:rsid w:val="00BA411C"/>
    <w:rsid w:val="00BE01DE"/>
    <w:rsid w:val="00C03FD8"/>
    <w:rsid w:val="00C34E13"/>
    <w:rsid w:val="00C40087"/>
    <w:rsid w:val="00C87E0F"/>
    <w:rsid w:val="00C918E8"/>
    <w:rsid w:val="00CA0C75"/>
    <w:rsid w:val="00CA7516"/>
    <w:rsid w:val="00CB0E82"/>
    <w:rsid w:val="00D05A09"/>
    <w:rsid w:val="00D05ED7"/>
    <w:rsid w:val="00D45D47"/>
    <w:rsid w:val="00D8118F"/>
    <w:rsid w:val="00D8296F"/>
    <w:rsid w:val="00D84E3F"/>
    <w:rsid w:val="00D85D5C"/>
    <w:rsid w:val="00DB7D50"/>
    <w:rsid w:val="00DC276B"/>
    <w:rsid w:val="00E04A17"/>
    <w:rsid w:val="00E13082"/>
    <w:rsid w:val="00E130A7"/>
    <w:rsid w:val="00E13D09"/>
    <w:rsid w:val="00E146B9"/>
    <w:rsid w:val="00E21FD0"/>
    <w:rsid w:val="00E2660E"/>
    <w:rsid w:val="00E46D12"/>
    <w:rsid w:val="00E53A2C"/>
    <w:rsid w:val="00E666F8"/>
    <w:rsid w:val="00E764B1"/>
    <w:rsid w:val="00E952E2"/>
    <w:rsid w:val="00EA3276"/>
    <w:rsid w:val="00EE1348"/>
    <w:rsid w:val="00EF0547"/>
    <w:rsid w:val="00F44DAC"/>
    <w:rsid w:val="00F60D53"/>
    <w:rsid w:val="00F831C9"/>
    <w:rsid w:val="34B6B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FA8B"/>
  <w15:chartTrackingRefBased/>
  <w15:docId w15:val="{2E47C876-217A-4226-AF17-AD7DCC51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C276B"/>
    <w:pPr>
      <w:ind w:left="720"/>
      <w:contextualSpacing/>
    </w:pPr>
  </w:style>
  <w:style w:type="paragraph" w:styleId="Header">
    <w:name w:val="header"/>
    <w:basedOn w:val="Normal"/>
    <w:link w:val="HeaderChar"/>
    <w:uiPriority w:val="99"/>
    <w:unhideWhenUsed/>
    <w:rsid w:val="00DC276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276B"/>
  </w:style>
  <w:style w:type="paragraph" w:styleId="Footer">
    <w:name w:val="footer"/>
    <w:basedOn w:val="Normal"/>
    <w:link w:val="FooterChar"/>
    <w:uiPriority w:val="99"/>
    <w:unhideWhenUsed/>
    <w:rsid w:val="00DC276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276B"/>
  </w:style>
  <w:style w:type="table" w:styleId="TableGrid">
    <w:name w:val="Table Grid"/>
    <w:basedOn w:val="TableNormal"/>
    <w:uiPriority w:val="39"/>
    <w:rsid w:val="00DC276B"/>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1B3428"/>
    <w:rPr>
      <w:sz w:val="16"/>
      <w:szCs w:val="16"/>
    </w:rPr>
  </w:style>
  <w:style w:type="paragraph" w:styleId="CommentText">
    <w:name w:val="annotation text"/>
    <w:basedOn w:val="Normal"/>
    <w:link w:val="CommentTextChar"/>
    <w:uiPriority w:val="99"/>
    <w:unhideWhenUsed/>
    <w:rsid w:val="001B3428"/>
    <w:pPr>
      <w:spacing w:line="240" w:lineRule="auto"/>
    </w:pPr>
    <w:rPr>
      <w:sz w:val="20"/>
      <w:szCs w:val="20"/>
    </w:rPr>
  </w:style>
  <w:style w:type="character" w:styleId="CommentTextChar" w:customStyle="1">
    <w:name w:val="Comment Text Char"/>
    <w:basedOn w:val="DefaultParagraphFont"/>
    <w:link w:val="CommentText"/>
    <w:uiPriority w:val="99"/>
    <w:rsid w:val="001B3428"/>
    <w:rPr>
      <w:sz w:val="20"/>
      <w:szCs w:val="20"/>
    </w:rPr>
  </w:style>
  <w:style w:type="paragraph" w:styleId="CommentSubject">
    <w:name w:val="annotation subject"/>
    <w:basedOn w:val="CommentText"/>
    <w:next w:val="CommentText"/>
    <w:link w:val="CommentSubjectChar"/>
    <w:uiPriority w:val="99"/>
    <w:semiHidden/>
    <w:unhideWhenUsed/>
    <w:rsid w:val="001B3428"/>
    <w:rPr>
      <w:b/>
      <w:bCs/>
    </w:rPr>
  </w:style>
  <w:style w:type="character" w:styleId="CommentSubjectChar" w:customStyle="1">
    <w:name w:val="Comment Subject Char"/>
    <w:basedOn w:val="CommentTextChar"/>
    <w:link w:val="CommentSubject"/>
    <w:uiPriority w:val="99"/>
    <w:semiHidden/>
    <w:rsid w:val="001B3428"/>
    <w:rPr>
      <w:b/>
      <w:bCs/>
      <w:sz w:val="20"/>
      <w:szCs w:val="20"/>
    </w:rPr>
  </w:style>
  <w:style w:type="character" w:styleId="Hyperlink">
    <w:name w:val="Hyperlink"/>
    <w:basedOn w:val="DefaultParagraphFont"/>
    <w:uiPriority w:val="99"/>
    <w:unhideWhenUsed/>
    <w:rsid w:val="00E04A17"/>
    <w:rPr>
      <w:color w:val="0563C1" w:themeColor="hyperlink"/>
      <w:u w:val="single"/>
    </w:rPr>
  </w:style>
  <w:style w:type="character" w:styleId="UnresolvedMention">
    <w:name w:val="Unresolved Mention"/>
    <w:basedOn w:val="DefaultParagraphFont"/>
    <w:uiPriority w:val="99"/>
    <w:semiHidden/>
    <w:unhideWhenUsed/>
    <w:rsid w:val="00E04A17"/>
    <w:rPr>
      <w:color w:val="605E5C"/>
      <w:shd w:val="clear" w:color="auto" w:fill="E1DFDD"/>
    </w:rPr>
  </w:style>
  <w:style w:type="character" w:styleId="FollowedHyperlink">
    <w:name w:val="FollowedHyperlink"/>
    <w:basedOn w:val="DefaultParagraphFont"/>
    <w:uiPriority w:val="99"/>
    <w:semiHidden/>
    <w:unhideWhenUsed/>
    <w:rsid w:val="0055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3893">
      <w:bodyDiv w:val="1"/>
      <w:marLeft w:val="0"/>
      <w:marRight w:val="0"/>
      <w:marTop w:val="0"/>
      <w:marBottom w:val="0"/>
      <w:divBdr>
        <w:top w:val="none" w:sz="0" w:space="0" w:color="auto"/>
        <w:left w:val="none" w:sz="0" w:space="0" w:color="auto"/>
        <w:bottom w:val="none" w:sz="0" w:space="0" w:color="auto"/>
        <w:right w:val="none" w:sz="0" w:space="0" w:color="auto"/>
      </w:divBdr>
      <w:divsChild>
        <w:div w:id="660082486">
          <w:marLeft w:val="0"/>
          <w:marRight w:val="0"/>
          <w:marTop w:val="0"/>
          <w:marBottom w:val="0"/>
          <w:divBdr>
            <w:top w:val="none" w:sz="0" w:space="0" w:color="auto"/>
            <w:left w:val="none" w:sz="0" w:space="0" w:color="auto"/>
            <w:bottom w:val="none" w:sz="0" w:space="0" w:color="auto"/>
            <w:right w:val="none" w:sz="0" w:space="0" w:color="auto"/>
          </w:divBdr>
        </w:div>
      </w:divsChild>
    </w:div>
    <w:div w:id="1555695663">
      <w:bodyDiv w:val="1"/>
      <w:marLeft w:val="0"/>
      <w:marRight w:val="0"/>
      <w:marTop w:val="0"/>
      <w:marBottom w:val="0"/>
      <w:divBdr>
        <w:top w:val="none" w:sz="0" w:space="0" w:color="auto"/>
        <w:left w:val="none" w:sz="0" w:space="0" w:color="auto"/>
        <w:bottom w:val="none" w:sz="0" w:space="0" w:color="auto"/>
        <w:right w:val="none" w:sz="0" w:space="0" w:color="auto"/>
      </w:divBdr>
    </w:div>
    <w:div w:id="15692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gislation.gov.uk/ukpga/1989/41/contents" TargetMode="External" Id="rId18" /><Relationship Type="http://schemas.openxmlformats.org/officeDocument/2006/relationships/hyperlink" Target="https://www.legislation.gov.uk/ukpga/2015/6/contents/enacted" TargetMode="External" Id="rId26" /><Relationship Type="http://schemas.openxmlformats.org/officeDocument/2006/relationships/fontTable" Target="fontTable.xml" Id="rId39" /><Relationship Type="http://schemas.openxmlformats.org/officeDocument/2006/relationships/hyperlink" Target="http://www.legislation.gov.uk/ukpga/2006/47/contents" TargetMode="External" Id="rId21" /><Relationship Type="http://schemas.openxmlformats.org/officeDocument/2006/relationships/hyperlink" Target="https://www.scie.org.uk/safeguarding/adults/introduction/types-and-indicators-of-abuse" TargetMode="External" Id="rId34"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legislation.gov.uk/ukpga/2006/50/contents" TargetMode="External" Id="rId16" /><Relationship Type="http://schemas.openxmlformats.org/officeDocument/2006/relationships/hyperlink" Target="http://www.legislation.gov.uk/ukpga/1999/14/contents" TargetMode="External" Id="rId20" /><Relationship Type="http://schemas.openxmlformats.org/officeDocument/2006/relationships/hyperlink" Target="https://www.scie.org.uk/safeguarding/adults/introduction/types-and-indicators-of-abuse"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hyperlink" Target="https://www.legislation.gov.uk/ukpga/2010/15/contents" TargetMode="External" Id="rId24" /><Relationship Type="http://schemas.openxmlformats.org/officeDocument/2006/relationships/hyperlink" Target="https://www.scie.org.uk/safeguarding/adults/introduction/types-and-indicators-of-abuse" TargetMode="External" Id="rId32" /><Relationship Type="http://schemas.openxmlformats.org/officeDocument/2006/relationships/hyperlink" Target="https://www.scie.org.uk/safeguarding/adults/introduction/types-and-indicators-of-abuse" TargetMode="External" Id="rId37" /><Relationship Type="http://schemas.microsoft.com/office/2011/relationships/people" Target="people.xml" Id="rId40" /><Relationship Type="http://schemas.openxmlformats.org/officeDocument/2006/relationships/styles" Target="styles.xml" Id="rId5" /><Relationship Type="http://schemas.openxmlformats.org/officeDocument/2006/relationships/hyperlink" Target="https://www.gov.uk/government/publications/protecting-charities-from-abuse-for-extremist-purposes/chapter-5-protecting-charities-from-abuse-for-extremist-purposes" TargetMode="External" Id="rId15" /><Relationship Type="http://schemas.openxmlformats.org/officeDocument/2006/relationships/hyperlink" Target="http://www.legislation.gov.uk/ukpga/2018/12/contents/enacted" TargetMode="External" Id="rId23" /><Relationship Type="http://schemas.openxmlformats.org/officeDocument/2006/relationships/hyperlink" Target="https://www.scie.org.uk/safeguarding/adults/introduction/types-and-indicators-of-abuse" TargetMode="External" Id="rId28" /><Relationship Type="http://schemas.openxmlformats.org/officeDocument/2006/relationships/hyperlink" Target="https://www.scie.org.uk/safeguarding/adults/introduction/types-and-indicators-of-abuse" TargetMode="External" Id="rId36" /><Relationship Type="http://schemas.openxmlformats.org/officeDocument/2006/relationships/hyperlink" Target="http://www.legislation.gov.uk/ukpga/2004/31/contents" TargetMode="External" Id="rId19" /><Relationship Type="http://schemas.openxmlformats.org/officeDocument/2006/relationships/hyperlink" Target="https://www.scie.org.uk/safeguarding/adults/introduction/types-and-indicators-of-abuse"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uidance/safeguarding-duties-for-charity-trustees" TargetMode="External" Id="rId14" /><Relationship Type="http://schemas.openxmlformats.org/officeDocument/2006/relationships/hyperlink" Target="http://www.legislation.gov.uk/ukpga/2014/23/contents/enacted" TargetMode="External" Id="rId22" /><Relationship Type="http://schemas.openxmlformats.org/officeDocument/2006/relationships/hyperlink" Target="https://www.gov.uk/government/publications/care-act-statutory-guidance/care-and-support-statutory-guidance" TargetMode="External" Id="rId27" /><Relationship Type="http://schemas.openxmlformats.org/officeDocument/2006/relationships/hyperlink" Target="https://www.scie.org.uk/safeguarding/adults/introduction/types-and-indicators-of-abuse" TargetMode="External" Id="rId30" /><Relationship Type="http://schemas.openxmlformats.org/officeDocument/2006/relationships/hyperlink" Target="https://www.scie.org.uk/safeguarding/adults/introduction/types-and-indicators-of-abuse" TargetMode="External" Id="rId35" /><Relationship Type="http://schemas.openxmlformats.org/officeDocument/2006/relationships/footnotes" Target="footnotes.xml" Id="rId8" /><Relationship Type="http://schemas.openxmlformats.org/officeDocument/2006/relationships/customXml" Target="../customXml/item3.xml" Id="rId3" /><Relationship Type="http://schemas.microsoft.com/office/2016/09/relationships/commentsIds" Target="commentsIds.xml" Id="rId12" /><Relationship Type="http://schemas.openxmlformats.org/officeDocument/2006/relationships/hyperlink" Target="https://www.legislation.gov.uk/ukpga/2011/25/contents" TargetMode="External" Id="rId17" /><Relationship Type="http://schemas.openxmlformats.org/officeDocument/2006/relationships/hyperlink" Target="https://www.legislation.gov.uk/ukpga/2005/9/contents" TargetMode="External" Id="rId25" /><Relationship Type="http://schemas.openxmlformats.org/officeDocument/2006/relationships/hyperlink" Target="https://www.scie.org.uk/safeguarding/adults/introduction/types-and-indicators-of-abuse" TargetMode="External" Id="rId33" /><Relationship Type="http://schemas.openxmlformats.org/officeDocument/2006/relationships/header" Target="header1.xml" Id="rId3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4E43ED74B35479A6D5C31C4F08DDF" ma:contentTypeVersion="14" ma:contentTypeDescription="Create a new document." ma:contentTypeScope="" ma:versionID="7f061a2082bb63b4082f2a7424652848">
  <xsd:schema xmlns:xsd="http://www.w3.org/2001/XMLSchema" xmlns:xs="http://www.w3.org/2001/XMLSchema" xmlns:p="http://schemas.microsoft.com/office/2006/metadata/properties" xmlns:ns2="33ebf122-5c2f-4d49-ab34-c78292e83ae7" xmlns:ns3="d3b5462b-bfa6-4a4b-bc32-105641d160cd" targetNamespace="http://schemas.microsoft.com/office/2006/metadata/properties" ma:root="true" ma:fieldsID="a94f9eb63d63d314df734257c0c8434e" ns2:_="" ns3:_="">
    <xsd:import namespace="33ebf122-5c2f-4d49-ab34-c78292e83ae7"/>
    <xsd:import namespace="d3b5462b-bfa6-4a4b-bc32-105641d160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bf122-5c2f-4d49-ab34-c78292e83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e8194ac-132f-443e-9640-f1f2e8c85d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b5462b-bfa6-4a4b-bc32-105641d160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af34a5-2a25-4df3-9941-d378b93be29a}" ma:internalName="TaxCatchAll" ma:showField="CatchAllData" ma:web="d3b5462b-bfa6-4a4b-bc32-105641d160c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b5462b-bfa6-4a4b-bc32-105641d160cd" xsi:nil="true"/>
    <lcf76f155ced4ddcb4097134ff3c332f xmlns="33ebf122-5c2f-4d49-ab34-c78292e83a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A5463-818A-40FB-9181-0C495D6617BA}"/>
</file>

<file path=customXml/itemProps2.xml><?xml version="1.0" encoding="utf-8"?>
<ds:datastoreItem xmlns:ds="http://schemas.openxmlformats.org/officeDocument/2006/customXml" ds:itemID="{C611F849-E319-49F7-BE00-CFA8CC68EF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4F9E5-56CE-4137-858F-FEEF56FABE4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Amy Robinson</cp:lastModifiedBy>
  <cp:revision>3</cp:revision>
  <dcterms:created xsi:type="dcterms:W3CDTF">2023-10-19T08:45:00Z</dcterms:created>
  <dcterms:modified xsi:type="dcterms:W3CDTF">2024-01-17T15:34:11Z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0x010100C454E43ED74B35479A6D5C31C4F08DDF</vt:lpwstr>
  </property>
  <property fmtid="{D5CDD505-2E9C-101B-9397-08002B2CF9AE}" pid="3" name="MediaServiceImageTags">
    <vt:lpwstr/>
  </property>
</Properties>
</file>